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ZD22.037141 vom 24. Februar 2023</w:t>
      </w:r>
    </w:p>
    <w:p>
      <w:r>
        <w:t>VD Tribunal cantonal, 2023-02-24, FR</w:t>
      </w:r>
    </w:p>
    <w:p>
      <w:r>
        <w:rPr>
          <w:b/>
        </w:rPr>
        <w:t xml:space="preserve">Quelle: </w:t>
      </w:r>
      <w:r>
        <w:t>https://mcp.opencaselaw.ch/entscheid/vd_gerichte_ZD22.037141</w:t>
      </w:r>
    </w:p>
    <w:p>
      <w:r>
        <w:t>FR: VD_GERICHTE ZD22.037141 du 24 février 2023</w:t>
      </w:r>
    </w:p>
    <w:p>
      <w:r>
        <w:t>IT: VD_GERICHTE ZD22.037141 del 24 febbraio 2023</w:t>
      </w:r>
    </w:p>
    <w:p>
      <w:pPr>
        <w:pStyle w:val="Heading2"/>
      </w:pPr>
      <w:r>
        <w:t>Erwägungen</w:t>
      </w:r>
    </w:p>
    <w:p>
      <w:r>
        <w:rPr>
          <w:b/>
        </w:rPr>
        <w:t>E. 18</w:t>
      </w:r>
    </w:p>
    <w:p>
      <w:r>
        <w:t>janvier 2022, l’enquêteur a retenu que l’assurée présentait le statut d’une personne exerçant une activité lucrative à plein temps.</w:t>
      </w:r>
    </w:p>
    <w:p>
      <w:r>
        <w:t>- 5 - Par projet de décision du 9 mars 2022, l’Office AI a informé l'assurée qu’il avait l’intention de lui octroyer le droit à une demi-rente d’invalidité dès le 1er juin 2019. Le 26 mars 2022, l’assurée a formulé ses objections à l’encontre dudit projet de décision. Dans un rapport du 20 avril 2022, le DrG.________ a considéré que l’assurée était totalement incapable de travailler, compte tenu de l’addition de ses pathologies somatiques et psychiatriques. Par deux décisions du 14 juillet 2022, l’Office AI a accordé le droit à une demi-rente d’invalidité à l’assurée dès le 1er juin 2019. Il a considéré que celle-ci présentait une totale incapacité de travail dans son activité habituelle de veilleuse de nuit, mais que sa capacité de travail était de 60 % dans une activité adaptée à ses limitations fonctionnelles. Après pondération des revenus sans et avec invalidité, sans application d’un abattement, le degré d’invalidité était de 50 %, ce qui ouvrait le droit à une demi-rente d’invalidité à compter du 1er juin 2019. Il a également retenu qu’à partir du 1er mars 2020, la capacité de travail de l’assurée dans une activité adaptée n’était plus que de 50 %. Après une nouvelle comparaison des revenus sans et avec invalidité, le degré d’invalidité s’élevait à 59 %, taux qui justifiait le maintien du droit à une demi-rente d’invalidité. C. a) Le 14 septembre 2022, T.________, représentée par PROCAP Suisse, Service juridique, à Bienne, a recouru auprès de la Cour des assurances sociales du Tribunal cantonal à l’encontre des deux décisions du 14 juillet 2022, concluant principalement à leur réforme dans le sens de l’octroi d’une demi-rente d’invalidité dès le mois de juin 2019, respectivement de trois-quarts de rente dès le mois de mars 2020, et subsidiairement à leur annulation et au renvoi de la cause à l’office intimé pour instruction complémentaire et nouvelle décision dans le sens des</w:t>
      </w:r>
    </w:p>
    <w:p>
      <w:r>
        <w:t>- 6 - considérants. En substance, elle s’est plainte de l’absence d’application d’un abattement sur son revenu d’invalide statistique. b) Dans sa réponse du 25 octobre 2022, l’Office AI a conclu au rejet du recours. c) Répliquant le 25 novembre 2022, T.________ a confirmé ses conclusions du 14 septembre 2022 et argué qu’une personne qui travaillait à 100 %, avec un rendement de 50 %, demeurait bien moins « attractive » qu’un autre travailleur, en particulier dans des activités simples et répétitives. d) Dans ses déterminations du 16 décembre 2022, T.________ a indiqué ne pas avoir de nouveaux éléments à faire valoir.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porte sur le droit de la recourante à une rente d’invalidité.</w:t>
      </w:r>
    </w:p>
    <w:p>
      <w:r>
        <w:t>- 7 - 3.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Ainsi, les dispositions de la LAI et celles du règlement du 17 janvier 1961 sur l’assurance-invalidité (RAI ; RS 831.201) dans leur version entrée en vigueur le 1er janvier 2022 s’appliquent à toutes les rentes qui prennent naissance à partir du 1er janvier 2022. En revanche, si la décision concerne un premier octroi de rente, porte sur un droit qui a pris naissance avant le 1er janvier 2022 – étant souligné que,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 et est rendue après le 1er janvier 2022, ce sont les dispositions de la LAI et du RAI dans leur version valable jusqu'au 31 décembre 2021 qui s'appliquent (cf. ch. 9100 et 9102 de la Circulaire sur l’invalidité et les rentes dans l’assurance-invalidité [CIRAI] valable dès le 1er janvier 2022 ; ch. 1007 à 1009 de la Circulaire relative aux dispositions transitoires concernant le système de rente linéaire [Circ. DT DC AI] valable dès le 1er janvier 2022). b) En l’occurrence, les décisions attaquées datent du 14 juillet 2022 et allouent à la recourante une demi-rente d’invalidité dès le 1er décembre 2019. Cette date correspond en effet à l’ouverture de son droit à la rente, au sens de l’art. 29 al. 1 LAI, la recourante ayant déposé</w:t>
      </w:r>
    </w:p>
    <w:p>
      <w:r>
        <w:t>- 8 - tardivement sa demande de prestations en date du 7 décembre 2018, alors que la diminution de sa capacité de travail existait depuis le 27 juin 2017 (cf. avis SMR du 19 novembre 2020 du Dr M.________ et avis juriste du 18 juin 2021), ce dont les parties ne disconviennent pas. De surcroît, dès le 1er mars 2020, la recourante a connu un changement notable et durable de sa capacité de travail et, partant, de son taux d’invalidité, lequel est passé de 50 % à 59 %, ce qui n’a toutefois eu aucune conséquence sur son droit à une demi-rente d’invalidité. Dans la mesure où tous les éléments déterminants de l’état de fait sont antérieurs au 1er janvier 2022, il convient d’appliquer l’ancien droit.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w:t>
      </w:r>
    </w:p>
    <w:p>
      <w:r>
        <w:t>- 9 -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w:t>
      </w:r>
    </w:p>
    <w:p>
      <w:r>
        <w:t>- 10 -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cc/i)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à l’Enquête suisse sur la structure des salaires (ESS) publiée tous les deux ans par l’Office fédéral de la statistique (OFAS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ii) Il est notoire que les personnes atteintes dans leur santé, qui présentent des limitations même pour accomplir des activités légères, sont désavantagées sur le plan de la rémunération par rapport aux</w:t>
      </w:r>
    </w:p>
    <w:p>
      <w:r>
        <w:t>- 11 - travailleurs qui jouissent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Une déduction globale maximale de 25 % sur le salaire statistique permet de tenir compte des différents éléments qui peuvent influencer le revenu d’une activité lucrative. Il n’y a pas lieu de procéder à des déductions distinctes pour chacun des facteurs entrant en considération. Il faut bien plutôt procéder à une évaluation globale, dans les limites du pouvoir d’appréciation, des effets de ces facteurs sur le revenu d’invalide, compte tenue de l’ensemble des circonstances du cas concret (ATF 146 V 16 consid. 4.1 ; 126 V 75 consid. 5b/bb ; TF 8C_227/2017 du 17 mai 2018 consid. 3.1).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w:t>
      </w:r>
    </w:p>
    <w:p>
      <w:r>
        <w:t>- 12 -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Au moment où la décision du 27 juin 2017 de refus de rente a été rendue, la recourante présentait comme seule atteinte incapacitante un diabète de type LADA, lequel imposait certaines limitations fonctionnelles (à savoir : bénéficier d'un poste de travail procurant une activité régulière, répartie sur 5 jours de la semaine, avec des horaires réguliers et des pauses conséquentes au cours de la journée pour permettre de prendre des repas à des heures fixes et laissant le loisir de faire des dosages de glycémie pour adapter les injections d'insuline ; travailler dans un milieu tempéré stable [et non, par exemple, en extérieur] ; éviter tout travail de nuit afin de stabiliser valablement le rythme de vie sur la semaine entière, ainsi que les longs déplacements). Cette atteinte ne réduisait toutefois pas sa capacité de travail dans une activité adaptée, laquelle restait de 90 %, à tout le moins. S’agissant des lombalgies, des gonalgies, des angoisses et de la labilité de l’humeur dont se plaignait la recourante, ces troubles n’étaient pas considérés comme ayant un impact sur sa capacité de travail (cf. avis SMR du 16 mai 2017 du Dr R.________).</w:t>
      </w:r>
    </w:p>
    <w:p>
      <w:r>
        <w:t>- 13 - b) A l’appui de sa nouvelle demande de prestations du 7 décembre 2018, la recourante a valablement démontré un changement important des circonstances propres à influencer son degré d’invalidité, à savoir une péjoration de son état de santé et de sa capacité de travail dans une activité adaptée. Il ressort de l’expertise du 9 octobre 2020 du B.________, laquelle est pleinement probante sur les plans somatique et psychiatrique, que le diabète de type LADA demeurait incapacitant, compte tenu de son instabilité et des contraintes qui en découlaient (notamment la nécessité d’effectuer des contrôles fréquents des taux de glycémie et les conséquences négatives sur la concentration et la fatigue causées par les fluctuations glycémiques). En sus, l’état de santé psychologique de la recourante s’était détérioré. De nouvelles atteintes psychiatriques – à savoir un trouble dépressif récurrent (épisode actuel moyen, avec syndrome somatique), un trouble mixte de la personnalité (dépendant, anxieux et borderline) et des troubles paniques – venaient s’ajouter au tableau clinique et impactaient (de manière fluctuante dans le temps) la capacité de travail de la recourante, respectivement son rendement dès le mois de janvier 2019. Les experts se sont également penchés sur les problèmes rhumatologiques (lombalgies et gonalgies) et gynécologiques (endométriose) de la recourante et ont conclu que ceux-ci n’impactaient pas sa capacité de travail. c) S’agissant de la question de la capacité de travail, les experts ont retenu que la recourante présentait une totale incapacité de travail dans son activité habituelle de veilleuse de nuit. En revanche, dans une activité adaptée, sa capacité de travail s’élevait à 60 % dès le mois d’avril 2019 (100 % de capacité de travail, dont il fallait déduire 40 % de diminution de rendement, 20 % de cette dernière étant causés par l’atteinte diabétique et les autres 20 % par les troubles psychiatriques), respectivement à 50 % depuis le mois de mars 2020 (100 % de capacité de travail avec une perte de rendement de 20 % sur le plan diabétologique, à laquelle s’ajoutait une baisse de rendement supplémentaire de 30 % sur le plan psychiatrique causée par une réactivation anxieuse et une réapparition des attaques de panique), étant</w:t>
      </w:r>
    </w:p>
    <w:p>
      <w:r>
        <w:t>- 14 - précisé que l’addition des différentes diminutions de rendement se justifiait par le fait qu’elles étaient causées par des pathologies totalement différentes (à savoir diabétologique et psychiatrique). d) Rien ne justifie en l’espèce de s’écarter des conclusions convaincantes de l’expertise du B.________. L’avis du 20 avril 2022 du Dr G.________, selon lequel la recourante serait en complète incapacité de travail, ne les remet pas sérieusement en cause. Cette appréciation n’est en effet pas étayée par des constatations objectives ni par le résultat d’examens médicaux. 7. a) S’agissant de la détermination du taux d’invalidité, il est constant que la recourante présente le statut d’une personne exerçant une activité lucrative à plein temps (cf. rapport d’évaluation économique sur le ménage du 18 janvier 2022), qu’une diminution de sa capacité de travail existe depuis le 27 juin 2017, que son droit à une rente d’invalidité est ouvert depuis le 1er juin 2019 (cf. consid. 3b supra) et que sa capacité de travail s’est péjorée à compter du 1er mars 2020. b) S’agissant du revenu sans invalidité, il n’y a pas lieu de remettre en cause le choix de l’office intimé de se référer à la moyenne des salaires annuels entre 2012 et 2016 ressortant de l’extrait du compte individuel de la recourante (soit un montant de 59'635 fr. 60 pour un taux d’activité de 90 % [(54'067 + 60'189 + 59'710 + 63'067 + 61'145) / 5]) rapportée à un taux d’activité de 100 %, soit un montant de 66'262 francs. Après indexation de 0,4 % pour 2017, de 0,5 % pour 2018 et de 0,9 % pour 2019, le revenu sans invalidité de la recourante s’élevait à 67'461 fr. 42 en 2019 et, compte tenu de l’imputation d’une indexation supplémentaire de 0,8 %, à 68'001 fr. 11 en 2020. c) S’agissant du revenu avec invalidité, il doit être pris en compte le salaire statistique de 4'371 fr. de l’ESS pour l’année 2018 (tableaux TA1_skill_level, tous secteurs confondus, niveau de compétence 1, femme) calculé sur une base de 41,7 heures de travail hebdomadaire. Il</w:t>
      </w:r>
    </w:p>
    <w:p>
      <w:r>
        <w:t>- 15 - y a ensuite lieu d’appliquer une indexation de 0,9 % pour l’année 2019, ce qui amène le revenu avec invalidité annuel à 55'173 fr. 34 pour un taux d’activité de 100 %. Il reste finalement à tenir compte de la baisse de rendement de 40 % de la recourante, de sorte que son revenu avec invalidité s’élevait à 33'104 fr. en 2019. Pour l’année 2020, il convient également d’appliquer le salaire statistique de 4'371 fr. de l’ESS de l’année 2018 (tableaux TA1_skill_level, tous secteurs confondus, niveau de compétence 1, femme) et de le rapporter à 41,7 heures de travail hebdomadaire. Après indexation de 0,9 % pour l’année 2019 et de 0,8 % pour l’année 2020, le salaire annuel avec invalidité ascende à 55'614 fr. 73 pour un taux d’activité de 100 %. Il sied finalement de déduire de ce montant la baisse de rendement de 50 % de la recourante. En définitive, son revenu d’invalide était de 27'807 fr. 36 en 2020. A cet égard, il est relevé que le tribunal cantonal des assurances doit, dans le cadre de son examen, prendre en compte les faits qui se sont réalisés jusqu’au moment de la décision litigieuse. Dans la mesure où les décisions attaquées du 14 juillet 2022 ont été rendues antérieurement à la publication le 23 août 2022 des résultats de l’ESS pour l’année 2020, il convient dès lors de se référer aux données statistiques issues de l’ESS pour l’année 2018 (ATF 143 V 295 consid. 4.1.4 et les références ; voir également TF 9C_699/2015 du 6 juillet 2016 consid. 5.2). d) S’agissant d’un abattement supplémentaire sur le salaire d’invalide statistique, la jurisprudence prévoit que, dans les cas de personnes assurées étant en principe capables de travailler à plein temps, mais dont le rendement est réduit en raison de leur(s) atteinte(s) à la santé, il n’y a pas lieu d’appliquer un abattement qui irait au-delà de la diminution de rendement déjà prise en compte. S’il peut être vrai, comme le suppose la doctrine, que les travailleurs dont le rendement est réduit utilisent les infrastructures de leur employeur de manière plus inefficace</w:t>
      </w:r>
    </w:p>
    <w:p>
      <w:r>
        <w:t>- 16 - et, partant, de manière plus coûteuse que les travailleurs disposant d’une capacité de travail entière, il n'existe toutefois pas d'indices suffisants permettant de conclure que cet effet n’est pas compensé par les avantages découlant de la présence quotidienne de l’employé à son poste de travail (TF 8C_211/2018 du 8 mai 2018 consid. 4.4 et les références). En l’occurrence, il n’y a pas de raison de déroger à cette règle. De surcroît, il n’existe pas d’autres facteurs qui justifieraient l’application d’un abattement. Ainsi, l’office intimé n’a pas violé le droit fédéral en ne retenant aucun abattement sur les salaires avec invalidité statistiques de la recourante. e) Sur le vu de ce qui précède, le taux d’invalidité de la recourante est de 50,93 %, arrondi à 51 %, en 2019, après pondération des revenus sans et avec invalidité. Un tel taux ouvre ainsi le droit à une demi-rente d’invalidité dès le 1er juin 2019. Après nouvelle comparaison des revenus sans et avec invalidité en 2020, le degré d’invalidité de la recourante s’élève à 59,11 %, arrondi à 59 %, depuis le 1er mars 2020. Son droit à une demi-rente d’invalidité doit ainsi être maintenu sans modification malgré l’augmentation de son taux d’invalidité, celui-ci étant insuffisant pour ouvrir le droit à trois-quarts de rente d’invalidité. 8. a) En définitive, le recours est rejeté et, partant, les décisions querellées sont confirmées. b/aa)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w:t>
      </w:r>
    </w:p>
    <w:p>
      <w:r>
        <w:t>- 17 - bb) La partie recourante est au bénéfice de l’assistance judiciaire limitée aux frais de justice. Les frais judiciaires mis à sa charge ci-avant sont donc provisoirement supportés par l’Etat. cc) La partie recourante est toutefois rendue attentive au fait qu’elle devra en rembourser le montant dès qu’elle sera en mesure de le faire (art. 122 al. 1 et 123 du code de procédure civile du 19 décembre 2008 [CPC ; RS 272], applicables par renvoi de l’art. 18 al. 5 LPA-VD).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