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ZD22.036871 vom 29. Februar 2024</w:t>
      </w:r>
    </w:p>
    <w:p>
      <w:r>
        <w:t>VD Tribunal cantonal, 2024-02-29, FR</w:t>
      </w:r>
    </w:p>
    <w:p>
      <w:r>
        <w:rPr>
          <w:b/>
        </w:rPr>
        <w:t xml:space="preserve">Quelle: </w:t>
      </w:r>
      <w:r>
        <w:t>https://mcp.opencaselaw.ch/entscheid/vd_gerichte_ZD22.036871</w:t>
      </w:r>
    </w:p>
    <w:p>
      <w:r>
        <w:t>FR: VD_GERICHTE ZD22.036871 du 29 février 2024</w:t>
      </w:r>
    </w:p>
    <w:p>
      <w:r>
        <w:t>IT: VD_GERICHTE ZD22.036871 del 29 febbraio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- 11 -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- 12 -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l’espèce, il ressort du rapport du 22 juillet 2020 des Drs R.________, N.________ et J.________, de l’[...], que le recourant a souffert d’un syndrome de détresse respiratoire aiguë après avoir contracté le Covid-19. Hospitalisé le 16 mars 2020, il a été intubé et placé sous ventilation mécanique du 23 mars au 29 avril 2020, avec une trachéotomie réalisée le 17 avril 2020 et fermée le 6 mai 2020. Durant cette période, il a présenté de nombreuses complications, dont une pneumonie associée à la ventilation mécanique (à germe indéterminé le 5 avril 2020 et au Staphylococcus aureus sensible à la méticilline le 22 avril 2020), un barotraumatisme avec pneumo-médiastin le 23 mars 2020, des pneumatocèles post-infectieuses multiples (dont une géante en antéro- basale droit) ainsi qu’une probable inclusion de fibrinogène dans les</w:t>
      </w:r>
    </w:p>
    <w:p>
      <w:r>
        <w:t>- 13 - hépatocytes à la suite de la réponse immunitaire à l’infection virale. Au moment de débuter la neuroréhabilitation au mois de mai 2020, le recourant présentait encore des séquelles neurologiques (une polyneuropathie des soins avec une tétraparésie flasque), logopédiques (une voix hypophone le plus souvent chuchotée), un fléchissement de l’évocation lexical et des limitations attentionnelles (sous la forme d’un léger ralentissement psychomoteur et une réduction de l’endurance attentionnelle avec une fatigabilité intellectuelle) ainsi que sur le plan de la déglutition (le recourant était alimenté par sonde nasogastrique, en complément à un régime mixé). En dépit de la prise en charge intensive dont il a fait l’objet, tant sur le plan pneumologique, neurologique et logopédique, le recourant a continué à ressentir une diminution de la tolérance à l’effort physique, de la dyspnée au repos et au moindre effort, des douleurs neuropathiques et de type myalgie, une fatigue persistante globale physique, des courbatures, une faiblesse musculaire ainsi qu’une dysphonie avec fatigabilité de la voix. A cet égard, il est désormais admis que de tels symptômes appartiennent au tableau clinique typique d’une affection post-Covid-19 (à ce sujet, voir les pages dédiées de l’Organisation mondiale de la santé [Maladie à coronavirus {Covid-19} : affection post- Covid-19 ; https://www.who.int/fr/news-room/questions-and- answers/item/coronavirus-disease-(covid-19)-post-covid-19-condition] et de l’Office fédéral de la santé publique [Affection post-COVID-19 ; https://www.bag.admin.ch/bag/fr/home/strategie-und-politik/nationale- gesundheitsstrategien/post-covid-19-erkrankung/informationen-post-covid- 19-erkrankung.html] ; voir également Ioannis Kokkinakis et alii, Prise en charge pratique de l’affection post-Covid-19 – Mise à jour et illustrations par des situations cliniques, in Revue Médicale Suisse, 2023, p. 2094 ss). Par ailleurs, tant le Dr Q.________ (cf. son rapport du 31 juillet 2022) que le Prof. C.________ (cf. son rapport du 25 octobre 2022) retiennent, sur la base du tableau clinique actuel, que la capacité résiduelle de travail du recourant est de 50 % au plus. En effet, son activité habituelle de médecin ORL nécessite de la mobilité et motricité</w:t>
      </w:r>
    </w:p>
    <w:p>
      <w:r>
        <w:t>- 14 - fine, l’élévation des bras, un changement de position et des transferts de la position assise et debout, des discussions avec haussement de la voix pour les malentendants ainsi que de la concentration et une tension soutenues. Or ils ont estimé que la dyspnée, la fatigue, le manque de force, les douleurs de type neuropathiques (notamment les paresthésies), les douleurs musculaires ainsi que la dysphonie et la fatigabilité de la voix l’empêchaient d’exercer son activité au-delà de 50 %. A cet égard, il sied de relever que le Prof. D.________, dans son rapport du 14 février 2023, a indiqué que cette évaluation de la capacité de travail était compatible avec les études médicales s’intéressant aux personnes ayant souffert, comme le recourant, d’un syndrome post-soins-intensifs. b) Le Dr X.________ du SMR soulève le fait qu’il n’y a pas d’éléments objectifs qui permettraient d’expliquer les plaintes résiduelles du recourant, celles-ci reposant sur un simple « ressenti ». S’il n’est certes pas contestable, au vu des derniers rapports médicaux versés au dossier, que le recourant a recouvré des fonctions pulmonaires complètes et que celles-ci montrent, à l’examen, des volumes statiques dynamiques dans les limites de la norme, il n’en demeure pas moins que le recourant présente – comme cela a été fréquemment constaté dans le cadre d’une affection post-Covid-19, et comme cela est attesté par ses médecins- traitants – notamment une diminution de la tolérance à l’effort, un état de fatigue général, une dyspnée, des courbatures et un manque de force, ce sans grande amélioration depuis quelques mois. Or force est de constater que le SMR passe sous silence cette problématique et ne la confronte pas à la littérature médicale – pourtant abondante (cf. notamment les nombreuses publications liées au Covid-19 regroupées dans une rubrique spéciale créée par la Revue Médicale Suisse, disponible à l’adresse https://www.revmed.ch/covid-19) – relatives à cette question. Il n’a pas non plus tenu compte ni de la gravité initiale des symptômes, lesquels ont d’ailleurs rapidement nécessité une hospitalisation et une lourde prise en charge, ni de l’âge particulièrement avancé du recourant, éléments qui pouvaient exercer une influence non négligeable sur ses facultés de récupération post-Covid-19 et son aptitude à recouvrer sa capacité de travail. C’est d’autant plus regrettable que les plaintes exprimées par le</w:t>
      </w:r>
    </w:p>
    <w:p>
      <w:r>
        <w:t>- 15 - recourant étaient cohérentes au vu des connaissances médicales relatives aux symptômes consécutives à un Covid long (cf. le rapport du 14 février 2023 du Prof. D.________ et les références auxquelles celui-ci renvoie). Ainsi, il appert que l’appréciation du SMR est lacunaire ; celui-ci n’a pas suffisamment tenu compte, ni de l’origine des symptômes résiduels dont souffre encore le recourant, ni de leurs effets potentiels sur sa capacité de travail. Dans ces circonstances, et compte tenu du fait que la problématique du Covid-19, singulièrement de ses effets à long terme, étaient encore largement méconnus, l’intimé ne pouvait se contenter de se fonder uniquement sur les fonctions pulmonaires du recourant. c) Dans ces conditions, il n’y a pas lieu de s’écarter des appréciations convergentes du Dr Q.________ et des Prof. C.________ et D.________, selon lesquelles la capacité de travail du recourant est limitée à 50 %. Aussi, dès lors qu’il est admis que ce dernier disposait d’une capacité de travail de 50 % dans son activité habituelle de médecin, le taux d’invalidité se confond avec l’incapacité de travail telle qu’elle a été retenue par les médecins précités (application de la méthode de la comparaison en pour-cent : ATF 114 V 310 consid. 3a ; TF 9C_252/2021 du</w:t>
      </w:r>
    </w:p>
    <w:p>
      <w:r>
        <w:rPr>
          <w:b/>
        </w:rPr>
        <w:t>E. 9</w:t>
      </w:r>
    </w:p>
    <w:p>
      <w:r>
        <w:t>février 2022 consid. 6 et les références citées). Partant, il convient de lui reconnaître le droit à une demi-rente d’invalidité, non limitée dans le temps, à compter du 1er mars 2021. 7. a) En définitive, le recours doit être admis et la décision attaquée réformée en ce sens que le recourant a droit à un demi-rente d’invalidité à compter du 1er mars 2021.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w:t>
      </w:r>
    </w:p>
    <w:p>
      <w:r>
        <w:t>- 16 -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