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ZD22.036845 vom 19. Januar 2024</w:t>
      </w:r>
    </w:p>
    <w:p>
      <w:r>
        <w:t>VD Tribunal cantonal, 2024-01-19, FR</w:t>
      </w:r>
    </w:p>
    <w:p>
      <w:r>
        <w:rPr>
          <w:b/>
        </w:rPr>
        <w:t xml:space="preserve">Quelle: </w:t>
      </w:r>
      <w:r>
        <w:t>https://mcp.opencaselaw.ch/entscheid/vd_gerichte_ZD22.036845</w:t>
      </w:r>
    </w:p>
    <w:p>
      <w:r>
        <w:t>FR: VD_GERICHTE ZD22.036845 du 19 janvier 2024</w:t>
      </w:r>
    </w:p>
    <w:p>
      <w:r>
        <w:t>IT: VD_GERICHTE ZD22.036845 del 19 gennaio 2024</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compte tenu des féries judiciaires estivales (cf. art. 38 al. 4 let. b LPGA, sur renvoi de l’art. 60 al. 2 LPGA), auprès du tribunal compétent (cf. art. 93 let. a LPA-VD [loi cantonale vaudoise du 28 octobre 2008 sur la procédure administrative ; BLV 173.36]). Il respecte par ailleurs les formalités prévues par la loi (cf. art. 61 let. b LPGA), de sorte qu'il est recevable.</w:t>
      </w:r>
    </w:p>
    <w:p>
      <w:r>
        <w:rPr>
          <w:b/>
        </w:rPr>
        <w:t>E. 2</w:t>
      </w:r>
    </w:p>
    <w:p>
      <w:r>
        <w:t>En l’espèce, le litige porte sur le droit de la recourante à des prestations de l’assurance-invalidité, singulièrement à une rente.</w:t>
      </w:r>
    </w:p>
    <w:p>
      <w:r>
        <w:rPr>
          <w:b/>
        </w:rPr>
        <w:t>E. 3</w:t>
      </w:r>
    </w:p>
    <w:p>
      <w:r>
        <w:t>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b) D’après les principes généraux en matière de droit transitoire, on applique, en cas de changement de règles de droit et sauf réglementation transitoire contraire, les dispositions de droit matériel en vigueur lors de la réalisation de l’état de fait qui doit être apprécié</w:t>
      </w:r>
    </w:p>
    <w:p>
      <w:r>
        <w:t>- 16 - juridiquement ou qui entraîne des conséquences juridiques (ATF 144 V 210 consid. 4.3.1 ; 143 V 446 consid. 3.3 ; 138 V 176 consid. 7.1). En l’espèce, les faits déterminants de la présente cause se sont tous déroulés avant l’entrée en vigueur de la novelle, en particulier s’agissant de la survenance de l’incapacité de travail et de l’ouverture du droit à la rente. Ainsi, en dépit de la date de la décision litigieuse, il convient de se référer aux dispositions de la LAI et de son règlement d’exécution dans leur ancienne teneur, en vigueur jusqu’au 31 décembre 2021.</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rPr>
          <w:b/>
        </w:rPr>
        <w:t>E. 4.3</w:t>
      </w:r>
    </w:p>
    <w:p>
      <w:r>
        <w:t>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w:t>
      </w:r>
    </w:p>
    <w:p>
      <w:r>
        <w:t>- 19 -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5</w:t>
      </w:r>
    </w:p>
    <w:p>
      <w:r>
        <w:t>a) Pour pouvoir fixer le degré d'invalidité, l'administration – en cas de recours, le juge – se fonde sur des documents médicaux, ainsi que, le cas échéant, des documents émanant d'autres spécialistes pour prendre</w:t>
      </w:r>
    </w:p>
    <w:p>
      <w:r>
        <w:t>- 17 -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l’art. 61 let. c LPGA,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a) Les affections psychiques, les affections psychosomatiques et les syndromes de dépendance à des substances psychotropes doivent faire l’objet d’une procédure probatoire structurée (ATF 145 V 215 ; 143 V 418 consid. 6 et 7 ; 141 V 281 et les références citées). b) Il convient en premier lieu que l’atteinte soit diagnostiquée par l’expert selon les règles de l’art (ATF 141 V 281 consid. 2.1.2 et 2.2).</w:t>
      </w:r>
    </w:p>
    <w:p>
      <w:r>
        <w:t>- 18 - c)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w:t>
      </w:r>
    </w:p>
    <w:p>
      <w:r>
        <w:rPr>
          <w:b/>
        </w:rPr>
        <w:t>E. 7</w:t>
      </w:r>
    </w:p>
    <w:p>
      <w:r>
        <w:t>a) En l’espèce, on peut préalablement observer que les rapports régulièrement établis par les médecins traitants de la recourante ont fait uniquement état de diagnostics d’ordre neurologique et psychiatrique, ainsi que de problèmes neuropsychologiques (épilepsie focale, troubles de la personnalité, épisode anxio-dépressif, troubles cognitifs), lesquels ont été investigués dans le cadre du rapport d’expertise bidisciplinaire du Centre G.________ du 17 novembre 2021. Il s’agit, dans ce contexte, d’écarter toute référence à une éventuelle atteinte rhumatologique du genou gauche, dans la mesure où les pièces relatives à un accident de ski survenu en 2019 ont trait à une tierce personne et ont été classées par inadvertance manifeste dans le dossier de la recourante. Aucun des intervenants au dossier n’a toutefois relevé l’erreur de destination de ces pièces ; en revanche, le SMR en a tenu compte dans sa suggestion de mise en œuvre d’une expertise, ce qui témoigne d’emblée d’une certaine légèreté dans le traitement du cas de la recourante (cf. par exemple : avis du SMR du 21 mai 2021 et synthèse du dossier contenue dans le rapport d’expertise du Centre G.________ du 17 novembre 2021, p. 5). b) Indépendamment du constat ci-dessus, il convient, à l’instar de la recourante, de constater que le rapport d’expertise du Centre G.________, sur lequel s’appuie l’intimé pour justifier la décision querellée, apparaît insuffisamment documenté et motivé pour se prononcer sur le droit aux prestations revendiquées. Le rapport d’expertise en question ne</w:t>
      </w:r>
    </w:p>
    <w:p>
      <w:r>
        <w:t>- 20 - remplit pas les réquisits minimaux attendus d’une évaluation pluridisciplinaire du niveau d’une expertise. On observe tout d’abord que l’appréciation prétendument consensuelle des experts du Centre G.________ consiste de fait en une reprise littérale de divers passages des rapports établis spécifiquement par les Drs J.________ et K.________. Aucune discussion, ni analyse bidisciplinaire de la situation de la recourante ne figurent dans cette évaluation. Les différents diagnostics posés ne sont ni expliqués, ni étayés, et l’on ne voit pas que les experts auraient procédé à un consilium pour parvenir à une appréciation globale de la capacité résiduelle de travail et des limitations fonctionnelles. Une évaluation consensuelle pointue du cas de la recourante s’imposait pourtant au regard de l’intrication des aspects neurologique et psychique relatée par l’ensemble de ses médecins traitants, singulièrement par le Dr C.________ (cf. par exemple : rapport de ce spécialiste du 8 avril 2020 annexé au rapport de la Dre F.________). A la lecture des conclusions des experts, force est de relever que le tableau clinique décrit est imprécis et morcelé, chacun des deux spécialistes ayant fait part de ses constats respectifs quant aux limitations et ressources de la recourante. On en déduit que le lecteur devrait retrouver les éléments pertinents dans les rapports rédigés séparément par chacun des experts dans son domaine de compétence et qu’il s’agirait ensuite de comprendre le raisonnement ayant abouti aux conclusions communiquées. Ce procédé ne correspond toutefois pas aux exigences d’une mission expertale dans un contexte bi- ou pluridisciplinaire. Au demeurant, les rapports respectivement établis par les Drs J.________ et K.________ (faisant partie intégrante du rapport d’expertise du 17 novembre 2021) apparaissent insuffisants pour pallier les défauts de l’évaluation consensuelle, ainsi qu’il sera exposé ci-dessous.</w:t>
      </w:r>
    </w:p>
    <w:p>
      <w:r>
        <w:rPr>
          <w:b/>
        </w:rPr>
        <w:t>E. 8</w:t>
      </w:r>
    </w:p>
    <w:p>
      <w:r>
        <w:t>a) Sur le plan neurologique, le Dr J.________ a procédé à un examen – somme toute plutôt sommaire – de la recourante et a communiqué les résultats de ses investigations, en reprenant pour l’essentiel les termes des rapports médicaux du Dr C.________. L’expert n’a en particulier procédé à aucun examen complémentaire destiné à vérifier les diagnostics envisagés par le neurologue traitant. Il est néanmoins parvenu à la conclusion que la recourante pouvait reprendre une activité</w:t>
      </w:r>
    </w:p>
    <w:p>
      <w:r>
        <w:t>- 21 - lucrative adaptée au taux de 80 %, sans fournir de véritable motivation en lien avec cette appréciation. Il s’est en effet limité à relever que les crises survenaient « relativement rarement (1 à 6 fois par mois) » et qu’il s’agissait « la plupart du temps » de crises d’épilepsie partielle simples. En parallèle, l’expert n’a pourtant pas manqué de relever que la persistance de crises partielles complexes restreignait l’aptitude à la conduite de la recourante, tout en estimant que les résultats du bilan neuropsychologique devaient être pris « avec recul ». L’expert n’apporte cela étant aucune plus-value sérieuse par rapport aux documents spécialisés précédemment versés au dossier ; il ne fournit pas davantage de discussion, ni de critiques des diagnostics retenus ou des scores réalisés lors de l’évaluation neuropsychologique (cf. rapport d’expertise du Centre G.________ du 17 novembre 2011, p. 15-16 et 26). b) Par ailleurs, l’expert a expressément souligné le bilan universitaire planifié au sein des Hôpitaux N.________, relevant qu’il serait alors indispensable de répéter les tests de validation, ce qui permet de douter du caractère définitif de son appréciation (cf. ibidem, p. 15-16 et 26). On peut, dans ce contexte, mentionner que l’expert aurait été légitimé à requérir un tirage du rapport auprès de ses confrères des Hôpitaux N.________ aux fins de compléter son évaluation. A défaut, il apparaît que l’intimé aurait dû, au minimum, solliciter une nouvelle fois le Centre G.________, respectivement le Dr J.________, pour que ce dernier se détermine sur la teneur du rapport de séjour des Hôpitaux N.________ du 16 novembre 2021. On ajoutera qu’une telle démarche, postérieurement au rapport d’expertise du 17 novembre 2021, s’imposait d’autant plus que les Hôpitaux N.________ ont fait état d’un nouveau bilan neuropsychologique, lequel conduisait à retenir une composante fonctionnelle relativement importante (cf. rapport des Hôpitaux N.________ du 16 novembre 2021, p. 4). c) Compte tenu des éléments qui précèdent, il y a lieu de déduire que le volet neurologique, ainsi que neuropsychologique, du rapport d’expertise du Centre G.________ s’avère incomplet.</w:t>
      </w:r>
    </w:p>
    <w:p>
      <w:r>
        <w:t>- 22 -</w:t>
      </w:r>
    </w:p>
    <w:p>
      <w:r>
        <w:rPr>
          <w:b/>
        </w:rPr>
        <w:t>E. 9</w:t>
      </w:r>
    </w:p>
    <w:p>
      <w:r>
        <w:t>a) Du point de vue psychiatrique, l’évaluation contenue dans l’expertise du Centre G.________, rédigée par la Dre K.________, ne répond à l’évidence pas aux exigences de qualité énoncées notamment dans les Lignes directrices de qualité des expertises de psychiatrie d’assurance, édictées par la Société suisse de psychiatrie et de psychothérapie. Le rapport de cette spécialiste frappe d’emblée par son manque de substance et de motivation, tant sur le plan diagnostique que du point de vue de ses conclusions. b) L’experte a retenu les diagnostics de trouble de la personnalité histrionique, ainsi que de trouble anxieux et dépressif mixte, considérés comme sans influence sur la capacité de travail. La Dre K.________ a justifié son appréciation de manière extrêmement succincte, en l’illustrant par des comportements attribués à la recourante, sous rubrique « Epicrise : signes cliniques et explications des diagnostics ». Ce faisant, elle a mentionné divers symptômes témoignant d’une « anxiété importante » (syndromes neurovégétatifs, palpitations, gêne épigastrique et sécheresse buccale) sans manquer de se contredire en qualifiant le trouble anxieux et dépressif de « relativement léger », sans autre explication qui permettrait de comprendre le caractère non incapacitant du trouble en question. On ajoutera que la Dre K.________ n’a pas pris la peine de produire une appréciation critique des différentes évaluations communiquées par la psychiatre traitante. Elle n’a pas non plus envisagé des diagnostics différentiels, ni exposé comment – en l’absence de tests et au terme d’un bref entretien d’un peu plus d’une heure – elle parvenait aux diagnostics retenus (cf. rapport d’expertise du Centre G.________ du 17 novembre 2021, p. 16 et 39). Ceux-ci ne sont pas davantage expliqués par les « constatations objectives » relatées par la Dre K.________, lesquelles consistent en une compilation, dénuée de tout commentaire critique, de symptômes qui semblent ressortir des seules allégations de la recourante (cf. ibidem, p. 34 à 37). Au titre d’observations sur la personnalité de cette dernière, la Dre K.________ a fait état de manifestations comportementales, sans explications complémentaires, sans confrontations avec les éléments d’anamnèse ou les éventuelles plaintes alléguées (cf. ibidem, p. 37). On ignore ainsi totalement sur quels éléments objectifs la Dre K.________</w:t>
      </w:r>
    </w:p>
    <w:p>
      <w:r>
        <w:t>- 23 - fonde son appréciation du cas, qui n’est rejointe par aucun autre avis médical au dossier. c) Quant à la rubrique spécifiquement liée à l’évaluation médicale et médico-assurantielle de l’experte, celle-ci s’avère également extrêmement succincte et composée d’une liste des capacités qui seraient préservées auprès de la recourante, sans aucune illustration concrète en lien avec le cas particulier (cf. ibidem, p. 40 et 41). d) Le rapport d’expertise psychiatrique est enfin sérieusement déficient quant à l’analyse des indicateurs posés par la jurisprudence fédérale rappelée sous consid. 6c supra. Les éléments relatés par la Dre K.________, eu égard à l’appréciation des ressources de la recourante, sont constitués – une fois de plus – d’une compilation des rubriques basées sur la Mini-CIF-APP, reprises pêle-mêle sans aucune analyse concrète et circonstanciée (cf. ibidem, p. 40 à 42). On ajoutera qu’en dépit du caractère éventuellement psychogène de l’épilepsie affectant la recourante, la Dre K.________ ne se prononce aucunement sur cet aspect de la pathologie soumise à ses investigations. Le rapport de la Dre K.________ ne fournit ainsi aucune information sérieuse tant au niveau du degré de gravité des atteintes à la santé évoquées que des ressources et capacités effectives de la recourante. e) Ce document ne permet donc manifestement pas de déterminer l’incidence des atteintes à la santé sur la capacité de travail de la recourante, ni de se prononcer sur les ressources à sa disposition pour en surmonter les conséquences.</w:t>
      </w:r>
    </w:p>
    <w:p>
      <w:r>
        <w:rPr>
          <w:b/>
        </w:rPr>
        <w:t>E. 10</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w:t>
      </w:r>
    </w:p>
    <w:p>
      <w:r>
        <w:t>- 24 - 19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 Kommentar, 2ème éd.,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l’espèce, il ne pouvait échapper à l’intimé que le rapport d’expertise du Centre G.________ était à la fois incomplet (faute de détermination sur le rapport subséquent des Hôpitaux N.________) et insuffisant (compte tenu de ses graves lacunes et défauts) pour statuer sur le droit aux prestations de la recourante, de sorte que ce document ne pouvait se voir accorder valeur probante. La Cour de céans estimant que l’intimé a failli à son obligation d’élucider les faits à satisfaction, il s’agit dès lors de lui renvoyer la cause pour complément d’instruction. Après actualisation des pièces médicales, il lui appartiendra de solliciter une nouvelle expertise pluridisciplinaire de la recourante, comprenant des</w:t>
      </w:r>
    </w:p>
    <w:p>
      <w:r>
        <w:t>- 25 - volets neuropsychologique, neurologique et psychiatrique, avec en particulier une appréciation consensuelle exhaustive, notamment eu égard la corrélation entre les diagnostics neurologiques et psychiatriques posés dans le cas particulier.</w:t>
      </w:r>
    </w:p>
    <w:p>
      <w:r>
        <w:rPr>
          <w:b/>
        </w:rPr>
        <w:t>E. 11</w:t>
      </w:r>
    </w:p>
    <w:p>
      <w:r>
        <w:t>a) En définitive, le recours doit être admis et la décision litigieuse annulée, la cause étant renvoyée à l’intimé pour instruction complémentaire et nouvelle décision dans le sens des considérants. b) La procédure de recours en matière de contestations portant sur l’octroi ou le refus de prestations de l’assurance-invalidité est soumise à des frais de justice (art. 69 al. 1bis LAI). Il convient de les fixer à 600 fr. et de les porter à la charge de la partie intimée, vu l’issue du litige. c)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