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ZD22.036657 vom 6. Mai 2025</w:t>
      </w:r>
    </w:p>
    <w:p>
      <w:r>
        <w:t>VD Tribunal cantonal, 2025-05-06, FR</w:t>
      </w:r>
    </w:p>
    <w:p>
      <w:r>
        <w:rPr>
          <w:b/>
        </w:rPr>
        <w:t xml:space="preserve">Quelle: </w:t>
      </w:r>
      <w:r>
        <w:t>https://mcp.opencaselaw.ch/entscheid/vd_gerichte_ZD22.036657</w:t>
      </w:r>
    </w:p>
    <w:p>
      <w:r>
        <w:t>FR: VD_GERICHTE ZD22.036657 du 6 mai 2025</w:t>
      </w:r>
    </w:p>
    <w:p>
      <w:r>
        <w:t>IT: VD_GERICHTE ZD22.036657 del 6 maggio 2025</w:t>
      </w:r>
    </w:p>
    <w:p>
      <w:pPr>
        <w:pStyle w:val="Heading2"/>
      </w:pPr>
      <w:r>
        <w:t>Erwägungen</w:t>
      </w:r>
    </w:p>
    <w:p>
      <w:r>
        <w:rPr>
          <w:b/>
        </w:rPr>
        <w:t>E. 4</w:t>
      </w:r>
    </w:p>
    <w:p>
      <w:r>
        <w:t>a) L’invalidité se définit comme l’incapacité de gain totale ou partielle qui est présumée permanente ou de longue durée et qui résulte</w:t>
      </w:r>
    </w:p>
    <w:p>
      <w:r>
        <w:t>- 11 -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suppression de la rente, qui repose sur un examen matériel du droit à la rente, avec une constatation des faits pertinents, une appréciation des preuves et une comparaison des revenus conformes</w:t>
      </w:r>
    </w:p>
    <w:p>
      <w:r>
        <w:t>- 12 - au droit, et la décision litigieuse, un changement important des circonstances propres à influencer le degré d'invalidité, et donc le droit à la rente, s'est produit (ATF 147 V 467 consid. 4.1 ; 133 V 108). d)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147 V 467 consid. 4.1 ;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467 consid. 4.1 ; 144 I 103 consid. 2.1 ; 141 V 9 consid. 2.3 et les références citées).</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- 15 -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- 13 -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8C_152/2023 du 14 novembre 2023 consid. 5.1).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w:t>
      </w:r>
    </w:p>
    <w:p>
      <w:r>
        <w:t>- 14 -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Les renseignements médicaux recueillis dans le cadre de la demande de prestations déposée le 11 août 2007 ont mis en évidence des troubles somatiques, à savoir un status après lymphome de Hodgkin en rémission complète (cf. rapport de la Dre P.________ du 7 octobre 2009), et psychiques, ces derniers ayant motivé une expertise psychiatrique auprès du Dr F.________. Dans son rapport du 7 mai 2010, ce médecin a relevé que l’assurée avait interrompu son suivi auprès du Centre S.________ de W.________ et qu’elle ne prenait aucun traitement psychotrope. De plus, ses problèmes de santé somatique l’avaient confrontée à la mort, ce qui lui avait permis d’acquérir une plus grande maturité ; de ce fait, elle était plus apte à discuter de ses difficultés avec autrui et maîtrisait mieux son impulsivité. La labilité émotionnelle était moindre et il n’y avait plus d’attaque de panique, ni d’agoraphobie, interférant de façon cliniquement significative dans son existence quotidienne. Elle gérait mieux ses angoisses et il n’y avait pas d’indices en faveur d’un abus d’alcool. Tout au plus l’expert a-t-il pu noter une légère dysthymie ; celle-ci était toutefois sans véritable conséquence sur le fonctionnement extra-professionnel de l’assurée, puisque celle-ci assumait parfaitement son rôle de mère, de même qu’elle s’occupait des tâches ménagères et planifiait les activités du week-end. Aussi n’y avait-il plus de justification pour une diminution de la capacité de travail, laquelle était supérieure à 75 %. Compte tenu du fait que la reprise d’une activité professionnelle paraissait inenvisageable aux yeux du Dr R.________ (cf. rapport du 14 juillet 2011), l’OAI-FR a demandé au Dr F.________ de se prononcer sur les éléments communiqués par son confrère. Dans son rapport du 8 novembre 2011, il a exclu tout diagnostic incapacitant, retenant, sur la base de son examen clinique, un trouble panique avec une agoraphobie subclinique à légère, voire une dysthymie chez une personnalité présentant des traits immatures de type état limite. Si l’état de santé de l’assurée s’était légèrement aggravé au mois de janvier 2011 en raison de l’interruption de projets médiatiques à la demande de son ex-époux, l’évolution globale, caractérisée par une maturation progressive encourageante, demeurait largement favorable. Aussi le Dr F.________ n’a-t-il pu que confirmer les conclusions de l’examen effectué en 2010, en retenant une capacité de travail supérieure à 75 % dans toute activité potentielle adaptée aux motivations et aux</w:t>
      </w:r>
    </w:p>
    <w:p>
      <w:r>
        <w:t>- 16 - compétences professionnelles de l’intéressée, une reprise du travail à plein temps étant possible ultérieurement. Se fondant sur cette appréciation, l’OAI-FR a, par décision du 14 février 2012, mis un terme au versement du trois quarts de rente servi à l’assurée depuis le 1er juin 2004. En bref, il a considéré que, compte tenu d’une capacité de travail de 90 % dans une activité adaptée, l’intéressée ne subissait, après comparaison des revenus sans et avec invalidité, aucun préjudice économique.</w:t>
      </w:r>
    </w:p>
    <w:p>
      <w:r>
        <w:rPr>
          <w:b/>
        </w:rPr>
        <w:t>E. 8</w:t>
      </w:r>
    </w:p>
    <w:p>
      <w:r>
        <w:t>Sur le plan médical, il n’y pas lieu de s’écarter des conclusions de l’expertise psychiatrique réalisée par le Dr J.________, d’après lesquelles la recourante dispose, malgré l’évolution de sa situation socio- économique, toujours d’une pleine capacité de travail. a) Le rapport d’expertise du 13 mars 2022, tel que complété le</w:t>
      </w:r>
    </w:p>
    <w:p>
      <w:r>
        <w:rPr>
          <w:b/>
        </w:rPr>
        <w:t>E. 10</w:t>
      </w:r>
    </w:p>
    <w:p>
      <w:r>
        <w:t>a)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Celle-ci est au bénéfice de l’assistance judiciaire limitée aux frais de justice. Les frais judiciaires mis à sa charge sont donc provisoirement supportés par l’Etat. Elle est toutefois rendue attentive au fait qu’elle devra en rembourser le montant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b) Il n’y a pas lieu d’allouer de dépens à la partie recourante, qui n’obtient pas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