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ZD22.036039 vom 29. November 2023</w:t>
      </w:r>
    </w:p>
    <w:p>
      <w:r>
        <w:t>VD Tribunal cantonal, 2023-11-29, FR</w:t>
      </w:r>
    </w:p>
    <w:p>
      <w:r>
        <w:rPr>
          <w:b/>
        </w:rPr>
        <w:t xml:space="preserve">Quelle: </w:t>
      </w:r>
      <w:r>
        <w:t>https://mcp.opencaselaw.ch/entscheid/vd_gerichte_ZD22.036039</w:t>
      </w:r>
    </w:p>
    <w:p>
      <w:r>
        <w:t>FR: VD_GERICHTE ZD22.036039 du 29 novembre 2023</w:t>
      </w:r>
    </w:p>
    <w:p>
      <w:r>
        <w:t>IT: VD_GERICHTE ZD22.036039 del 29 novembre 2023</w:t>
      </w:r>
    </w:p>
    <w:p>
      <w:pPr>
        <w:pStyle w:val="Heading2"/>
      </w:pPr>
      <w:r>
        <w:t>Erwägungen</w:t>
      </w:r>
    </w:p>
    <w:p>
      <w:r>
        <w:rPr>
          <w:b/>
        </w:rPr>
        <w:t>E. 31</w:t>
      </w:r>
    </w:p>
    <w:p>
      <w:r>
        <w:t>décembre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 notion de marché équilibré du travail est une notion théorique et abstraite qui sert de critère de distinction entre les cas</w:t>
      </w:r>
    </w:p>
    <w:p>
      <w:r>
        <w:t>- 9 -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d)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Selon l’art. 17 al. 1 LAI, l’assuré a droit au reclassement dans une nouvelle profession si son invalidité rend cette mesure nécessaire et que sa capacité de gain peut ainsi, selon toute vraisemblance, être maintenue ou améliorée. Est réputé invalide au sens de l’art. 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w:t>
      </w:r>
    </w:p>
    <w:p>
      <w:r>
        <w:t>- 10 - reclassement est une diminution de la capacité de gain de 20 % environ (ATF 139 V 399 consid. 5.3). 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 personne assurée n’a pas repris d’activité lucrative dans une profession adaptée, ou lorsque son activité ne met pas pleinement en valeur sa capacité de travail résiduelle, contrairement à ce</w:t>
      </w:r>
    </w:p>
    <w:p>
      <w:r>
        <w:t>- 11 - qui serait raisonnablement exigible, le revenu avec invalidité peut être évalué en se référant aux données salariales publiées tous les deux ans par l’Office fédéral de la statistique dans l’Enquête suisse sur la structure des salaires (ci-après : l’ESS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w:t>
      </w:r>
    </w:p>
    <w:p>
      <w:r>
        <w:t>- 12 -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En l’espèce, le Dr L.________ a exposé, dans son rapport du 7 janvier 2020, que le recourant présentait une capacité de travail nulle dans son activité habituelle de livreur-monteur et pleine dans une activité adaptée, ne demandant pas de soulever, porter ou pousser des charges de plus de 15 kg, d’effectuer des mouvements répétitifs ou fréquents de flexion, d’extension ou de torsion de la colonne lombaire, de subir des vibrations de basses fréquences ou des contrecoups à la colonne lombaire, de tenir une position statique (assise et débout) prolongée plus qu’une</w:t>
      </w:r>
    </w:p>
    <w:p>
      <w:r>
        <w:t>- 13 - heure (avec la nécessité de positions alternées et de brèves pauses) et de travailler dans une position instable. Il a par la suite confirmé ses observations dans son rapport 30 novembre 2021, tout en reconnaissant que l’activité de vendeur chez F.________ AG n’était pas adaptée à l’état de santé de son patient. Enfin, dans son rapport du 5 juillet 2022, il a en substance indiqué que la lombalgie dont souffrait le recourant était stable depuis sa dernière consultation ; qu’une faible douleur lombaire subsistait, laquelle était cependant supportable tant que ce dernier ne tenait pas une position statique de manière prolongée (de 30 à 60 minutes au maximum), ne portait pas des charges dépassant 12 kg, ne s’accroupissait pas, ne se mettait pas à genoux et ne mobilisait pas sa colonne lombaire de façon répétitive ; et que l’assuré ne suivait plus de traitement antalgique. b) Ainsi, au vu des conclusions du rhumatologue traitant – lesquelles sont dans l’essentiel restées constantes depuis 2020 –, il appert que le recourant dispose d’une capacité de travail nulle dans son activité habituelle de chauffeur-livreur et de vendeur auprès de la société F.________ AG. Sa capacité de travail est en revanche pleine dans une activité adaptée aux limitations fonctionnelles susmentionnées, étant précisé que dès 2021, le port de charge est restreint non plus à 15 kg, mais à 12 kg. Certes, dans son rapport et son attestation médicale établis le 23 septembre 2021, le Dr L.________ a déclaré qu’un travail réellement adapté, à temps plein, n'existait probablement pas et qu’une activité partiellement adaptée, à mi-temps, était vraisemblablement plus appropriée à la situation sur le plan médical. Il n’appartient toutefois pas aux médecins de déterminer dans quel domaine d’activités un assuré se montrerait susceptible de mettre en valeur sa capacité résiduelle de gain sur un marché du travail équilibré, la réponse à cette question – de droit – revenant à l’assureur, respectivement au juge (cf. TF 8C_869/2011 du 24 avril 2012 consid. 4.3.1). Dès lors, l’avis de ce spécialiste quant aux possibilités réelles d’emploi offertes au recourant ne saurait remettre en doute la position de l’intimé selon laquelle un travail simple et répétitif dans le domaine industriel léger est compatible avec les limitations fonctionnelles retenues par le Dr L.________.</w:t>
      </w:r>
    </w:p>
    <w:p>
      <w:r>
        <w:t>- 14 - c) Une capacité de travail nulle dans l’activité habituelle et totale dans une activité adaptée ayant été attestée, il convient encore de vérifier si le recourant est en droit de prétendre au versement d’une rente d’invalidité et à l’octroi de mesures d’ordre professionnel, ce en procédant à une comparaison des revenus. S’agissant du revenu sans invalidité, il sied de se référer au salaire réalisé en 2017 – soit la dernière année durant laquelle le recourant était pleinement capable de travailler – auprès de la société D.________, tel qu'indiqué par cette dernière dans son rapport du 23 février 2020 à l'intimé, et indexé à 2019, soit 68'391 fr. 20. Le revenu avec invalidité, quant à lui, doit être calculé à l’aune de l’ESS, l'assuré n’ayant pas repris d’activité lucrative (cf. supra consid. 4e/bb). Ainsi, selon les données pour l’année 2018, le salaire auquel pouvaient prétendre les hommes dans des activités manuelles simples était de 5'417 fr. pour une semaine de travail de 40 heures. Compte tenu d'une durée hebdomadaire moyenne de travail de 41,7 heures cette année-là dans ce secteur d’activités (cf. OFS, Durée normale du travail dans les entreprises selon la division économique [NOGA 2008], en heures par semaine, T 03.02.03.01.04.01), le revenu d’invalide mensuel, indexé à 2019, se monte à 5'647 fr. 22, à savoir 68'376 fr. 57 par an. Contrairement à l’avis du recourant, il ne se justifie pas de retenir une déduction sur le revenu avec invalidité, afin de prendre en compte ses limitations fonctionnelles et son âge. En effet, selon la jurisprudence, les limitations fonctionnelles ne peuvent fonder un abattement sur ce revenu que dans l’hypothèse où il n'y a plus un éventail suffisamment large d'activités accessibles à l'assuré sur un marché du travail équilibré (cf. TF 8C_122/2019 du 10 septembre 2019 consid. 4.3.1.4 ; TF 8C_174/2019 du 9 juillet 2019 consid. 5.2.2 et les références). Or, dans le cas présent, les limitations fonctionnelles constatées par le Dr L.________ sont compatibles avec un grand nombre d’activités légères dans le secteur de l’industrie. Le fait que l’activité exercée par l’assuré entre les années 2020 et 2021 auprès de la société F.________ AG ait</w:t>
      </w:r>
    </w:p>
    <w:p>
      <w:r>
        <w:t>- 15 - finalement été considérée comme inadaptée à son état de santé et que celui-ci rencontre des difficultés à trouver un emploi ne s’avèrent à ce titre pas à même de remettre en cause ce constat. Enfin, à la date de la décision litigieuse, le recourant été âgé de moins de 50 ans, soit un âge relativement éloigné de celui de la retraite (cf. TF 8C_122/2019 du 10 septembre 2019 consid. 4.3.2). Du reste, conformément à la jurisprudence, l’âge n’a en principe pas d’incidence sur le revenu en cas d’application du niveau de compétence 1 de l’ESS (cf. TF 9C_284/2018 du 17 juillet 2018 consid. 2.2.3). Partant, la comparaison d’un revenu d’invalide de 68'376 fr. 57 à un revenu sans invalidité de 68'391 fr. 20 aboutit à un degré d’invalidité – arrondi – de 0 %. d) Dans ces conditions, l’intimé était fondé à nier au recourant le droit à une rente d’invalidité, le degré d’invalidité minimum de 40 % fixé à l’art. 28 al. 1 let. c LAI n’étant pas atteint (cf. supra consid. 4c). Il en est de même en ce qui concerne le droit à une mesure de reclassement au sens de l’art. 17 LAI, le taux d’invalidité étant inférieur à 20 % (cf. supra consid. 4d in fine). A cet égard, comme le relève à juste titre l’assuré, la décision litigieuse ne se révèle pas claire sur le type de mesures d’ordre professionnel dont l’octroi lui est refusé. Néanmoins, dans la mesure où, d’une part, l’intimé s’est uniquement prononcé sur le droit au reclassement et, d’autre part, a annoncé, par communication du 8 août 2022, que les conditions du droit à une aide au placement en vertu de l’art. 18 LAI étaient remplies, il convient de constater que ce refus est circonscrit au seul reclassement. 7. Le dossier est pour le surplus complet et permet à la Cour de céans de statuer en pleine connaissance de cause. Il n’y a donc pas lieu de compléter l’instruction, comme le requiert le recourant, par la mise en œuvre d’une expertise rhumatologique. En effet, une telle mesure d’instruction ne serait pas de nature à modifier les considérations qui précèdent, puisque les faits pertinents ont pu être constatés à satisfaction de droit (appréciation anticipée des preuves ; ATF 130 II 425 consid. 2.1 ;</w:t>
      </w:r>
    </w:p>
    <w:p>
      <w:r>
        <w:t>- 16 - 122 II 464 consid. 4a ; TF 8C_90/2020 du 17 novembre 2020 consid. 4.3.2 ; TF 8C_826/2019 du 13 mai 2020 consid. 5.2). 8. a) En définitive, le recours, mal fondé, doit être rejeté et la décision rendue le 8 août 2022 par l'intimé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