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ZD22.036024 vom 6. Juni 2023</w:t>
      </w:r>
    </w:p>
    <w:p>
      <w:r>
        <w:t>VD Tribunal cantonal, 2023-06-06, FR</w:t>
      </w:r>
    </w:p>
    <w:p>
      <w:r>
        <w:rPr>
          <w:b/>
        </w:rPr>
        <w:t xml:space="preserve">Quelle: </w:t>
      </w:r>
      <w:r>
        <w:t>https://mcp.opencaselaw.ch/entscheid/vd_gerichte_ZD22.036024</w:t>
      </w:r>
    </w:p>
    <w:p>
      <w:r>
        <w:t>FR: VD_GERICHTE ZD22.036024 du 6 juin 2023</w:t>
      </w:r>
    </w:p>
    <w:p>
      <w:r>
        <w:t>IT: VD_GERICHTE ZD22.036024 del 6 giugno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w:t>
      </w:r>
    </w:p>
    <w:p>
      <w:r>
        <w:t>- 10 -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 TF 8C_160/2016 du 2 mars 2017 consid. 4.1). b) Il découle de l’art. 61 let. c LPGA que le juge apprécie librement les preuves médicales, en procédant à une appréciation</w:t>
      </w:r>
    </w:p>
    <w:p>
      <w:r>
        <w:t>- 11 -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En l’occurrence, il n’y a pas lieu de s’écarter des conclusions de l’expertise réalisée par le Département de psychiatrie des C.________, d’après lesquelles le recourant souffre d’un trouble dépressif récurrent (actuellement en rémission) et de troubles mentaux et du comportement liés à l’utilisation de dérivés du cannabis (syndrome de dépendance), sources depuis le 1er novembre 2019 d’une incapacité de travail de 50 % dans une activité adaptée (fatigabilité, émotivité, irritabilité, sensibilité au stress avec risque de décompensation, troubles de la mémoire, faible capacité d’introspection), améliorable jusqu’à 100 % en cas de mise en place d’un suivi psychiatrique et d’un traitement antidépresseur en parallèle de mesures de réinsertion sur une durée de six à douze mois. aa) Sur le plan formel, le rapport d’expertise psychiatrique du 23 avril 2021 (et son complément du 6 juillet 2021) remplit toutes les exigences auxquelles la jurisprudence soumet la valeur probante d’un tel document (cf. consid. 4b supra). Fruit d’un examen approfondi du cas (plusieurs entretiens ont eu lieu en mars et avril 2021), il repose sur des</w:t>
      </w:r>
    </w:p>
    <w:p>
      <w:r>
        <w:t>- 12 - investigations particulièrement fouillées. S’ouvrant par une anamnèse circonstanciée (personnelle, familiale/hérédité, socioprofessionnelle), le rapport décrit le contexte médical et assécurologique déterminant (sur la base de la prise en compte de l’ensemble du dossier mis à disposition des experts), résume les plaintes du recourant, relate le status psychiatrique, de même qu’il rend compte des observations effectuées en répondant par ailleurs de manière ciblée aux questions complémentaires de l’administration. bb) aaa) Sur le plan matériel, les experts ont, au terme de leur examen, posé des diagnostics en référence à la Classification statistique internationale des maladies et des problèmes de santé connexes (CIM-10) et à la lumière des éléments cliniques constatés. Ils ont indiqué que le diagnostic retenu était celui de trouble dépressif récurrent, en rémission incomplète (F33.4), que le syndrome de dépendance n’était pas incapacitant en soi (le recourant avait longtemps travaillé malgré sa consommation de cannabis), et qu’un trouble de la personnalité pouvait être exclu en l’absence des critères nécessaires. Ils ont précisé que les arguments ayant mené au diagnostic d’une rémission incomplète étaient les suivants : « une diminution du plaisir et de l’intérêt pour les activités agréables, une insomnie d’endormissements avec des réveils nocturnes, une humeur fluctuante depuis plusieurs semaines avec des périodes de tristesse quotidienne de quelques jours (mais majoritairement neutres sur les sept derniers jours), un sentiment de fatigue et de manque d’énergie, des troubles de la mémoire récente et une tendance à pleurer » ; ils avaient pu constater l’émotivité ainsi que des troubles de mémoire (le recourant oubliant à plusieurs reprises la question qui lui avait été posée) ; le recourant s’était également plaint d’une fatigabilité qui avait été constatée à la fin des deux premiers entretiens. Les experts ont noté que des critères qualitatifs de dépression étaient présents mais qu’ils ne répondaient plus à ceux d’un épisode dépressif caractérisé. bbb) En ce qui concerne le degré de gravité fonctionnel de l’atteinte à la santé, les experts ont constaté que le recourant était en mesure de gérer les activités quotidiennes de la vie, qu’il s’occupait de sa</w:t>
      </w:r>
    </w:p>
    <w:p>
      <w:r>
        <w:t>- 13 - fille en bas-âge les jours où il en avait la garde, qu’il avait du plaisir à être avec elle (personne-ressource) de même qu’avec cinq bons amis dans la nature ou lorsqu’il allait pêcher. Le recourant était par ailleurs désireux de se réinsérer dans le marché du travail et intéressé par les métiers en lien avec la nature ou les animaux. Les experts ont expliqué que si la symptomatologie actuelle semblait très limitée, elle pouvait néanmoins être partiellement incapacitante en causant une désorganisation chez le recourant, l’empêchant d’honorer ses rendez-vous et de suivre les démarches au chômage, notamment en raison des angoisses anticipatoires invalidantes. La capacité de travail était améliorable jusqu’à 100 % avec un suivi psychiatrique et une pharmacothérapie permettant une résolution complète du trouble dépressif. A dires d’experts, sans ce traitement, la capacité de travail du recourant stagnerait très probablement à 50 %, alors qu’une rechute dépressive pourrait davantage diminuer cette capacité résiduelle de travail. ccc) S’agissant de la problématique du traitement, les possibilités thérapeutiques n’étaient pas épuisées, au contraire. Au jour de l’expertise, le recourant n’avait ni suivi ni traitement. Cette situation était qualifiée d’inadaptée par les experts qui estimaient que, moyennant un suivi régulier et un traitement adapté, les éventuelles rechutes pouvaient être prévenues. ddd) L’examen du parcours professionnel du recourant montre une personne active jusqu’en septembre 2018 sur le premier marché de l’emploi, dont l’apprentissage s’était déroulé sans difficulté et qui justifiait de plusieurs expériences dans son domaine professionnel (il s’auto-décrivait comme une personne polyvalente). Il maîtrisait plusieurs langues et était volontaire pour sa réinsertion professionnelle (il se projetait dans un travail plaisant sans critère de rendement en lien avec la nature ou les animaux). Aussi, les ressources personnelles du recourant ne paraissent pas totalement diminuées, bien au contraire. eee) Pour ce qui est du contexte social, les experts ont constaté que le recourant, à côté de ses médecins traitants, entretenait</w:t>
      </w:r>
    </w:p>
    <w:p>
      <w:r>
        <w:t>- 14 - des contacts réguliers avec sa fille durant ses jours de garde (le mercredi après-midi et la moitié du weekend) et avec quelques amis fidèles qu’il fréquentait de temps en temps lors de promenades en nature ou de parties de pêche. A côté de cela, il avait conservé des contacts espacés avec la mère de sa fille dont il était séparé depuis 2018. Le recourant mentionnait par ailleurs entretenir des contacts réguliers avec sa mère et son frère aîné, lesquels n’étaient toutefois pas considérés comme des personnes-ressources. La relation avec son deuxième frère et son père était en revanche quasi inexistante, avec des contacts très sporadiques, le recourant évitant en particulier de leur parler des « sujets qui fâchent » comme par exemple sa dépression. Un réseau social, certes un peu limité, existe donc bel et bien. fff) S’agissant pour finir du critère de la cohérence, les experts n’ont pas relevé d’incohérence entre l’examen clinique, l’anamnèse et le dossier mis à leur disposition. ggg) A l’aune de l’analyse de l’ensemble de indicateurs dégagés par la jurisprudence, la capacité de travail résiduelle de 50 % évaluée par les experts apparaît convaincante. cc) Le dossier ne contient aucun document médical qui remettrait en question les conclusions de cette expertise, aucun des médecins consultés n’ayant attesté une incapacité de travail dans une activité adaptée supérieure à 50 % (cf. rapport des Drs W.________ du 15 août 2019, G.________ du 16 octobre 2019 et B.________ du 25 août 2020). dd) Il n’y a par ailleurs pas lieu de tenir compte de l’aggravation signalée le 18 janvier 2022 par l’assistante sociale du recourant, celle-ci n’étant aucunement documentée. Si une péjoration de l’état de santé psychique du recourant en raison d’une décompensation dépressive ne peut être exclue à plus ou moins long terme, il n’y a pas lieu de la prendre en considération de façon anticipée dans le cadre de l’évaluation de la capacité de travail, ce d’autant qu’elle n’est ni prévisible ni quantifiable (TF 9C_600/2013 du 18 mars 2014 consid. 4.3.2). L’arrêt 9C_153/2015 du 3 novembre 2015 auquel se réfère le recourant n’est pas</w:t>
      </w:r>
    </w:p>
    <w:p>
      <w:r>
        <w:t>- 15 - déterminant dans le cas d’espèce, dès lors qu’il concerne la question de la capacité de travail d’une personne atteinte d’une maladie évoluant par poussées (telle que la sclérose en plaques), ce qui n’est pas le cas en l’espèce. ee) Au vu de ce qui précède, le dossier est complet sur le plan médical, permettant à la Cour de statuer en connaissance de cause. Un complément d’instruction apparaît ainsi inutile et la requête formulée en ce sens par le recourant dans son acte de recours du 7 septembre 2022 – soit la réalisation d’une expertise judiciaire « portant sur le volet psychiatrique »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TF 9C_409/2022 du 14 décembre 2022 consid. 5.3).</w:t>
      </w:r>
    </w:p>
    <w:p>
      <w:r>
        <w:rPr>
          <w:b/>
        </w:rPr>
        <w:t>E. 6</w:t>
      </w:r>
    </w:p>
    <w:p>
      <w:r>
        <w:t>Sur le plan de l’exigibilité, les limitations fonctionnelles mises en évidence par le corps médical (fatigabilité, émotivité, irritabilité, sensibilité au stress avec risque de décompensation, troubles de la mémoire, faible capacité d’introspection) ne présentent pas de spécificités telles qu’elles rendraient illusoires l’exercice d’une activité professionnelle. Le marché du travail (sur cette notion : ATF 110 V 273 consid. 4b ; TF 9C_496/2015 du 28 octobre 2015 consid. 3.2) offre en effet un large éventail d’activités légères, dont on doit convenir qu’un certain nombre sont adaptées aux limitations fonctionnelles du recourant et accessibles sans aucune formation professionnelle. Le recourant n’établit pas de manière convaincante en quoi des activités simples et légères, telles que celles décrites dans le rapport du service de réadaptation de l’intimé du 19 août 2021, ne seraient pas exigibles au regard des limitations retenues. Par ailleurs, il n’y a pas lieu de limiter les activités exigibles à celles qui sont en lien avec la nature et les animaux, celles-ci correspondant simplement à des activités pour lesquelles le recourant a exprimé de l’intérêt (cf. rapport d’expertise du 23 avril 2021, p. 8).</w:t>
      </w:r>
    </w:p>
    <w:p>
      <w:r>
        <w:t>- 16 -</w:t>
      </w:r>
    </w:p>
    <w:p>
      <w:r>
        <w:rPr>
          <w:b/>
        </w:rPr>
        <w:t>E. 7</w:t>
      </w:r>
    </w:p>
    <w:p>
      <w:r>
        <w:t>Cela étant constaté, il convient ensuite de déterminer le degré d’invalidité que le recourant présente.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Bâle 2018, n. 18 ad art. 16 LPGA).</w:t>
      </w:r>
    </w:p>
    <w:p>
      <w:r>
        <w:t>- 17 - c) Comme le revenu sans invalidité, le revenu avec invalidité doit être évalué avant tout en fonction de la situation professionnelle concrète de la personne assurée.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- 18 - d) aa) Il est constant que le recourant présente une incapacité de travail totale dans son activité de « Customer Support » depuis le 24 septembre 2018 en raison de sa maladie psychique. Selon l'art. 28 al. 1 let. b LAI, le droit à la rente prend naissance au plus tôt à la date dès laquelle l'assuré a présenté, en moyenne, une incapacité de travail de 40 % au moins pendant une année sans interruption notable. En l’espèce, le moment de l'ouverture du droit à une éventuelle rente de l'assurance- invalidité correspond au mois de septembre 2019. La comparaison des revenus doit ainsi être faite à la lumière des revenus de l'année 2019, date de l'ouverture du droit éventuel à la rente, conformément aux constatations de l’office intimé dans ses décisions. bb) Pour fixer le revenu sans invalidité, il se justifie en l’espèce de se référer au salaire que le recourant a effectivement perçu en 2018 avant l’atteinte à la santé, soit au montant de 64'400 fr. (et non au montant de 44'800 fr. figurant dans l’extrait du compte individuel AVS [lequel semble manifestement erroné] ou au montant de 60'000 fr. figurant dans le rapport d’employeur [lequel est contredit par les salaires effectivement versés au recourant]). Après indexation de ce montant pour 2019 (+ 0,9 % ; Tableau T 39 Evolution des salaires nominaux, des prix à la consommation et des salaires réels, 2010-2020 publié par l’Office Fédéral de la Statistique [OFS]), on obtient un revenu sans invalidité de 64'979 fr. 60. Il n’y a par ailleurs pas lieu de se référer au montant de 75'000 fr. mentionné dans le rapport d’employeur, dès lors que la brièveté des rapports de travail – un peu moins de vingt-et-un mois au moment de la survenance de l’incapacité de travail – ne permet pas de préjuger, en l’absence d’autres indices concrets, d’une évolution salariale positive d’une ampleur comparable à celle invoquée (cf. TF 9C_221/2014 du 28 août 2014 consid. 3.2 et les références). cc) Il n’y a pas lieu de s’écarter du revenu d’invalide calculé par l’office intimé, le montant de 34'188 fr. 29 n’étant pas véritablement contesté. A cet égard, contrairement à ce que soutenait le recourant au cours de la procédure administrative, un taux d’abattement</w:t>
      </w:r>
    </w:p>
    <w:p>
      <w:r>
        <w:t>- 19 - supplémentaire sur le salaire statistique n’a pas à être retenu, les limitations fonctionnelles ayant déjà été prises en compte dans la baisse de rendement admise sur le plan médical. e) La comparaison d’un revenu sans invalidité de 64'979 fr. 60 avec un revenu d’invalide de 34'188 fr. 29 aboutit à un degré d’invalidité de 47,38 %, arrondi à 47 % (cf. ATF 131 V 121). A l'échéance du délai d’attente d’une année (cf. art. 28 al. 1 LAI), soit le 24 septembre 2019, le recourant pouvait prétendre à un quart de rente de l’assurance-invalidité (cf. art. 28 al. 2 LAI). La demande de prestations ayant été déposée tardivement le 1er novembre 2019, le droit à la rente ne prend effet que le 1er mai 2020 (cf. art. 29 al. 1 et 3 LPGA), comme l’a retenu, à juste titre, l’office intimé dans ses décisions.</w:t>
      </w:r>
    </w:p>
    <w:p>
      <w:r>
        <w:rPr>
          <w:b/>
        </w:rPr>
        <w:t>E. 8</w:t>
      </w:r>
    </w:p>
    <w:p>
      <w:r>
        <w:t>a) En définitive, le recours, mal fondé, doit être rejeté et les décisions attaquées confirmées.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rPr>
          <w:b/>
        </w:rPr>
        <w:t>E. 9</w:t>
      </w:r>
    </w:p>
    <w:p>
      <w:r>
        <w:t>a) Le recourant est au bénéfice de l’assistance judiciaire. Les frais judiciaires mis à sa charge sont donc provisoirement supportés par l’Etat et Me Hichri peut prétendre une équitable indemnité pour son mandat d’office. En l’occurrence, Me Hichri ayant renoncé à produire la liste de ses opérations, la Cour de céans statue en équité, sur la base d’une estimation des opérations nécessaires pour la conduite du procès (art. 3 al. 2 RAJ), et fixe l’indemnité d’office à 1’800 fr., débours et TVA compris.</w:t>
      </w:r>
    </w:p>
    <w:p>
      <w:r>
        <w:t>- 20 - b)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