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ZD22.035088 vom 28. November 2023</w:t>
      </w:r>
    </w:p>
    <w:p>
      <w:r>
        <w:t>VD Tribunal cantonal, 2023-11-28, FR</w:t>
      </w:r>
    </w:p>
    <w:p>
      <w:r>
        <w:rPr>
          <w:b/>
        </w:rPr>
        <w:t xml:space="preserve">Quelle: </w:t>
      </w:r>
      <w:r>
        <w:t>https://mcp.opencaselaw.ch/entscheid/vd_gerichte_ZD22.035088</w:t>
      </w:r>
    </w:p>
    <w:p>
      <w:r>
        <w:t>FR: VD_GERICHTE ZD22.035088 du 28 novembre 2023</w:t>
      </w:r>
    </w:p>
    <w:p>
      <w:r>
        <w:t>IT: VD_GERICHTE ZD22.035088 del 28 novembre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- 12 -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- 13 -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w:t>
      </w:r>
    </w:p>
    <w:p>
      <w:r>
        <w:t>- 14 - celle-ci contienne ou non de nouveaux éléments de fait ou de droit, et qu’elle soit ou non concrètement susceptible d’influer sur le jugement à rendre (ATF 142 III 48 consid. 4.1.1 ; 139 I 189 consid. 3.2 et références citées).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142 II 218 consid. 2.8.1 ; 127 V 431 consid. 3d/aa).</w:t>
      </w:r>
    </w:p>
    <w:p>
      <w:r>
        <w:rPr>
          <w:b/>
        </w:rPr>
        <w:t>E. 6</w:t>
      </w:r>
    </w:p>
    <w:p>
      <w:r>
        <w:t>a) Le recourant reproche à l’intimé d’avoir violé son droit d’être entendu, en lui refusant une prolongation de délai de cinq mois, aux fins de produire une expertise privée et déposer ses objections à l’encontre du projet de décision du 11 décembre 2021. b)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(en vigueur depuis le 1er janvier 2021 à la suite de la modification de la LPGA ; RO 2020 5143), les parties peuvent faire part de leurs observations concernant le préavis dans un délai de 30 jours. Le message du Conseil Fédéral du 2 mars 2018 concernant la modification de la LPGA (FF 2018 1597) rappelle que les mesures de simplification de la procédure de l’AI, entrées en vigueur le 1er juillet 2006, ont réintroduit le préavis dans l’AI. Le délai de 30 jours accordé pour le contester a été réglé dans ce cadre à l’art. 73ter al. 1 RAI. Selon l’ATF 143 V 71, le délai fixé au niveau de l’ordonnance ne pouvait pas être prolongé.</w:t>
      </w:r>
    </w:p>
    <w:p>
      <w:r>
        <w:t>- 15 - Il ressortait cependant clairement de travaux préparatoires que telle n’était pas la volonté du législateur. Il importait donc d’inscrire dans la loi, à l’occasion de la révision de la LPGA, que ce délai de 30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30 jours ne semblait pas non plus problématique pour ce qui était de la protection du droit des assurés, étant donné qu’ils avaient également la possibilité de faire recours contre la décision dans un délai de 30 jours après que celle-ci leur avait été communiquée. Le Conseil fédéral a dès lors conclu que le délai devait être inscrit à l’al. 3 de l’art. 57a LAI (cf. Message du Conseil fédéral précité ; FF 2018 1636 et 1637). c) En l’occurrence, il est établi que le délai de 30 jours, désormais inscrit à l’art. 57a al. 3 LAI, est un délai légal et qu’il est de ce fait non prolongeable. On ne saurait par conséquent reprocher à l’intimé d’avoir refusé au recourant une troisième prolongation de délai, à hauteur de cinq mois supplémentaires, alors qu’il avait déjà bénéficié de deux prolongations, la seconde arrivant à échéance le 30 avril 2022. Le recourant avait au demeurant annoncé initialement la production de « rapports médicaux », pour finalement n’annoncer qu’à fin avril 2022 qu’il entendait requérir une expertise privée. Il lui aurait au demeurant été loisible de produire ces éléments dans le cadre de la présente procédure, étant rappelé que le projet de décision a été rendu le 11 décembre 2021, et que depuis le dépôt de son recours il aurait pu sans difficulté obtenir les compléments annoncés (qu’il s’agisse de rapports médicaux ou d’une expertise privée), étant constant que la Cour de céans est dotée d’un plein pouvoir d’examen. Le droit d’être entendu du recourant a donc bien été respecté in casu.</w:t>
      </w:r>
    </w:p>
    <w:p>
      <w:r>
        <w:t>- 16 -</w:t>
      </w:r>
    </w:p>
    <w:p>
      <w:r>
        <w:rPr>
          <w:b/>
        </w:rPr>
        <w:t>E. 7</w:t>
      </w:r>
    </w:p>
    <w:p>
      <w:r>
        <w:t>En l’espèce, le recourant conteste la valeur probante de l’expertise de la Clinique V.________, et l’existence d’une capacité de travail, estimant cette expertise « totalement erronée, en ce sens que [ses] atteintes somatiques empêchent en réalité toute activité professionnelle ». a) Le recourant n’étaye toutefois pas son propos. Il n’indique en particulier nullement dans ses écritures pour quels motifs l’expertise de la Clinique V.________ serait dénuée de valeur probante, ni ne produit de pièce qui serait propre à en remettre en cause les conclusions. En outre, et alors même que la Cour de céans dispose d’un plein pouvoir d’examen, le recourant a délibérément choisi qu’il adresserait uniquement à l’OAI « le rapport médical qu’il entendait produire par devant » lui. Aussi, force est de constater qu’il n’a pas motivé son grief selon lequel l’expertise serait erronée. b) Quoi qu’il en soit, le recourant ne pourrait être suivi. L’expertise a en effet été rédigée après qu’il a été examiné par chacun des quatre experts, à l’occasion d’entretiens distincts qui ont été réalisés les 18 et 19 mai 2021. Les experts ont listé les pièces du dossier, relaté les plaintes de l’expertisé, établi son anamnèse, puis procédé à un examen complet à l’issue duquel ils se sont prononcés sur la capacité de travail dans l’activité habituelle et dans une activité adaptée. Les experts ont enfin rédigé une appréciation consensuelle au sein même du volet d’expertise rédigé par le Dr Z.________, expert rhumatologue. Le rapport d’expertise comporte ainsi bien les quatre volets sollicités par l’OAI, contrairement à ce que soutient le recourant. Dans leur rapport, les experts ont retenu les diagnostics de status post-discectomie antérieure C4-C5 et C5-C6 et de gonarthrose droite modérée, avec effet sur la capacité de travail. Ils ont également posé les diagnostics de diabète de type II non insulino-requérant, d’obésité de grade 2, de dyslipidémie, de syndrome d’apnée du sommeil appareillé, de difficultés liées à de possibles sévices physiques infligés à un enfant et de difficultés en lien avec un parent en charge à domicile nécessitant des</w:t>
      </w:r>
    </w:p>
    <w:p>
      <w:r>
        <w:t>- 17 - soins, sans effet sur la capacité de travail. L’examen neuropsychologique avait mis en évidence de légères difficultés de mémoire à court terme verbale et à une épreuve de reconnaissance en mémoire épisodique visuelle. L’experte psychiatre, en particulier, a expliqué de manière détaillée les raisons pour lesquelles elle a écarté les diagnostics de troubles dissociatifs avec personnalités multiples, d’état de stress post- traumatique, de trouble dépressif récurrent, d’antécédents de troubles mentaux et du comportement liés à l’utilisation d’alcool et de troubles de l’adaptation avec réaction anxieuse et dépressive. Elle a exposé qu’il n’avait aucun argument orientant vers un trouble dissociatif, le comportement et le discours de l'assuré ayant été adaptés durant la totalité de l'évaluation. Les voix décrites par l’intéressé semblaient au demeurant plus correspondre à la perception et à la description de sa pensée tandis que les rares épisodes rapportés comme l'impression d'entendre de la musique ne pouvaient en aucun cas être liés à un quelconque trouble psychotique chronique. Par ailleurs, si l’assuré présentait des éléments du registre post-traumatique comme des cauchemars à répétition concernant son enfance depuis le début de l'âge adulte, la symptomatologie actuelle ne permettait pas de retenir le diagnostic d'état de stress post-traumatique : le facteur de stress n’était pas constamment remémoré en dehors des cauchemars et aucun évitement ou tendance à l'évitement n'était retrouvé. Il n'y avait pas non plus de symptôme persistant traduisant une hypersensibilité psychique et une hypervigilance en dehors des troubles du sommeil. Sur le plan de l'humeur, l’intéressé ne présentait aucun des critères cardinaux de la dépression. Il n’y avait pas d’élément pour retenir un quelconque diagnostic en lien avec une dépendance, l’assuré ne présentant plus de consommation excessive d’alcool depuis 2013. Enfin rien n'indiquait la présence d'un quelconque trouble de la personnalité chez l’assuré qui avait pu travailler de façon régulière pendant de nombreuses années et maintenir une cellule familiale stable. Sur le plan de la capacité de travail, les experts ont admis qu’au vu de la limitation de mobilité cervicale et de la gonarthrose, l'activité de serveur en restaurant pouvait être reprise avec une incapacité</w:t>
      </w:r>
    </w:p>
    <w:p>
      <w:r>
        <w:t>- 18 - de 30 % en raison des limitations fonctionnelles suivantes : ne pas effectuer de travaux répétés ou soutenus en extension ou en rotation du rachis cervical, ne pas porter de charges excédant 10 kg, monter et descendre les escaliers ou des échelles, travailler en position accroupie ou à genoux, horaires fixes en raison du diabète mal équilibré. En revanche, dans toute activité professionnelle respectant ces limitations fonctionnelles, la capacité de travail était entière et ce depuis le 1er janvier 2018, soit un an après l'intervention chirurgicale rachidienne. De légères limitations pouvaient être retenues sur le plan neuropsychologique lors de tâches sollicitant les capacités de reconnaissance d’informations visuelles, occasionnant une légère diminution de la capacité de travail de l’ordre de</w:t>
      </w:r>
    </w:p>
    <w:p>
      <w:r>
        <w:rPr>
          <w:b/>
        </w:rPr>
        <w:t>E. 10</w:t>
      </w:r>
    </w:p>
    <w:p>
      <w:r>
        <w:t>% dans des activités soumises à un stress important ou lors de tâches requérant un niveau d’exigences très élevé. L’assuré n’était pas limité pour des raisons psychiques dans la mise en pratique de ses compétences dans sa vie quotidienne, familiale et professionnelle quel que soit le poste de travail. En tant qu’il se fonde sur l’entier des pièces du dossier et l’examen de l’assuré, liste ses plaintes, contient une anamnèse détaillée, évalue la cohérence et la plausibilité, contient une évaluation consensuelle et des conclusions claires et étayées, le rapport d’expertise du 26 mai 2021 remplit les réquisits jurisprudentiels permettant de lui reconnaître une pleine valeur probante. c) S’agissant ensuite de l’allégation du recourant selon laquelle l’expertise apparaît « très orientée assureur et pas objective », elle n’est pas non plus motivée. L’OAI a par ailleurs suivi la procédure idoine de désignation des experts. Il est en outre de jurisprudence constante que le fait qu'un expert, médecin indépendant, ou une institution d'expertise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TF 9C_343/2020 du</w:t>
      </w:r>
    </w:p>
    <w:p>
      <w:r>
        <w:t>- 19 - 22 avril 2021 consid. 4.3 ; 9C_635/2018 du 5 décembre 2018 consid. 3 et 4). Infondé, le grief doit par conséquent être écarté. d) Dans ces conditions, l’OAI pouvait se fonder sur les conclusions de l’expertise des médecins de la Clinique V.________ du 26 mai 2021, et pouvait ainsi retenir que le recourant présente une capacité de travail de 90 % dans une activité adaptée dès le 1er janvier 2018. 8. a) Vu ce qui précède,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partie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29 août 2023, Me Duc a chiffré à 7 heures et 50 minutes le temps consacré au dossier du recourant. Ces opérations étant justifiées, l’indemnité de Me Duc est arrêtée à 1'594 fr. 50, TVA par 114 fr. et débours par 70 fr. 50 compris.</w:t>
      </w:r>
    </w:p>
    <w:p>
      <w:r>
        <w:t>- 20 - La rémunération de l’avocat d’office est provisoirement supportée par le canton (art. 122 al. 1 let. a CPC, applicable par renvoi de l’art. 18 al. 5 LPA-VD). La partie recourante est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