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ZD22.034161 vom 30. Januar 2024</w:t>
      </w:r>
    </w:p>
    <w:p>
      <w:r>
        <w:t>VD Tribunal cantonal, 2024-01-30, FR</w:t>
      </w:r>
    </w:p>
    <w:p>
      <w:r>
        <w:rPr>
          <w:b/>
        </w:rPr>
        <w:t xml:space="preserve">Quelle: </w:t>
      </w:r>
      <w:r>
        <w:t>https://mcp.opencaselaw.ch/entscheid/vd_gerichte_ZD22.034161</w:t>
      </w:r>
    </w:p>
    <w:p>
      <w:r>
        <w:t>FR: VD_GERICHTE ZD22.034161 du 30 janvier 2024</w:t>
      </w:r>
    </w:p>
    <w:p>
      <w:r>
        <w:t>IT: VD_GERICHTE ZD22.034161 del 30 gennaio 2024</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w:t>
      </w:r>
    </w:p>
    <w:p>
      <w:r>
        <w:t>- 19 -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compte tenu des féries judiciaires estivales (cf. art. 38 al. 4 let. b LPGA, sur renvoi de l’art. 60 al. 2 LPGA),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a) En l’espèce, le litige porte sur le droit du recourant à une rente entière de l’assurance-invalidité du 1er juin 2015 au 31 décembre 2020, date à laquelle il a atteint l’âge légal de la retraite. b) On peut par ailleurs constater que le litige relatif au droit à une rente pour enfant en faveur du fils du recourant du 1er juin au 31 août 2015 est désormais sans objet, compte tenu de la décision en ce sens, émise par l’intimé pendente lite le 6 janvier 2023.</w:t>
      </w:r>
    </w:p>
    <w:p>
      <w:r>
        <w:rPr>
          <w:b/>
        </w:rPr>
        <w:t>E. 3</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D’après les principes généraux en matière de droit transitoire, on applique, en cas de changement de règles de droit et sauf réglementation transitoire contraire, les dispositions de droit matériel en vigueur lors de la réalisation de l’état de fait qui doit être apprécié</w:t>
      </w:r>
    </w:p>
    <w:p>
      <w:r>
        <w:t>- 20 - juridiquement ou qui entraîne des conséquences juridiques (ATF 144 V 210 consid. 4.3.1 ; 143 V 446 consid. 3.3 ; 138 V 176 consid. 7.1). En l’espèce, les faits déterminants de la présente cause se sont tous déroulés avant l’entrée en vigueur de la novelle, en particulier s’agissant de la survenance de l’incapacité de travail et de l’ouverture du droit à la rente. Ainsi, en dépit de la date de la décision litigieuse, il convient de se référer aux dispositions de la LAI et de son règlement d’exécution dans leur ancienne teneur, en vigueur jusqu’au 31 décembre 2021.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Selon l’art. 28 al. 2 LAI (dans sa teneur en vigueur au 31 décembre 2021), l’assuré a droit à une rente d'invalidité s’il est invalide</w:t>
      </w:r>
    </w:p>
    <w:p>
      <w:r>
        <w:t>- 21 -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d) A teneur de l’art. 29ter RAI (règlement du 17 janvier 1961 sur l’assurance-invalidité ; RS 831.201), il y a interruption notable de l’incapacité de travail au sens de l’art. 28 al. 1 let. b LAI lorsque l’assuré est entièrement apte au travail pendant 30 jours consécutifs au moins.</w:t>
      </w:r>
    </w:p>
    <w:p>
      <w:r>
        <w:rPr>
          <w:b/>
        </w:rPr>
        <w:t>E. 5</w:t>
      </w:r>
    </w:p>
    <w:p>
      <w:r>
        <w:t>a) Si le taux d’invalidité du bénéficiaire de rente subit une modification notable, la rente est, d’office ou sur demande, révisée pour l’avenir, à savoir augmentée ou réduite en conséquence, ou encore supprimée (art. 17 al. 1 LPGA [dans sa teneur en vigueur au 31 décembre 2021]). b) Une diminution notable du taux d’invalidité est établie, en particulier, dès qu’une amélioration déterminante de la capacité de gain a duré trois mois sans interruption notable et sans qu’une complication prochaine soit à craindre (art. 88a al. 1 RAI). Si, en revanche, la capacité de gain de l’assuré ou sa capacité d’accomplir les travaux habituels se dégrade, ce changement est déterminant pour l’accroissement du droit aux prestations dès qu’il a duré trois mois sans interruption notable (art. 88a al. 2 RAI). c) Ces dispositions sont applicables, par analogie, lorsqu’un office de l’assurance-invalidité alloue, avec effet rétroactif, une rente d’invalidité temporaire ou échelonnée (ATF 145 V 209 consid. 5.3 ; 131 V 164 consid. 2.2 ; 125 V 413 consid. 2d).</w:t>
      </w:r>
    </w:p>
    <w:p>
      <w:r>
        <w:rPr>
          <w:b/>
        </w:rPr>
        <w:t>E. 6</w:t>
      </w:r>
    </w:p>
    <w:p>
      <w:r>
        <w:t>a) Pour pouvoir fixer le degré d'invalidité, l'administration – en cas de recours, le juge – se fonde sur des documents médicaux, ainsi que, le cas échéant, des documents émanant d'autres spécialistes pour prendre</w:t>
      </w:r>
    </w:p>
    <w:p>
      <w:r>
        <w:t>- 22 -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w:t>
      </w:r>
    </w:p>
    <w:p>
      <w:r>
        <w:t>- 23 -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7</w:t>
      </w:r>
    </w:p>
    <w:p>
      <w:r>
        <w:t>a) En l’espèce, il est établi que le recourant a été atteint à réitérées reprises dans sa santé à compter du 30 juin 2014, tout d’abord en raison de maladie (lymphome), puis au motif de deux accidents</w:t>
      </w:r>
    </w:p>
    <w:p>
      <w:r>
        <w:t>- 24 - (fractures des poignets) survenus respectivement le 28 mai 2016 et en septembre 2019. b) Concernant l’évolution de la capacité de travail du recourant et l’exigibilité de la reprise de son activité lucrative habituelle de comptable, on observe que l’on dispose de nombreux certificats médicaux faisant état d’arrêts de travail complets ou partiels, émanant tant du Centre hospitalier B.________ et des divers spécialistes consultés par le recourant (notamment chirurgiens orthopédiques et cardiologue) que de son médecin généraliste traitant, le Dr D________. Nombre de ces certificats ne précisent pas les motifs des arrêts de travail prononcés (cf. par exemple : certificats du Centre hospitalier B.________ des 6 septembre 2017 et 19 février 2018), de sorte qu’il n’apparaît pas possible, au moyen de ces documents, de retracer précisément les périodes d’incapacité de travail et de déterminer avec certitude les atteintes à la santé auxquelles elles se rapportent. On retiendra toutefois que recourant a concédé, aux termes de ses diverses écritures à l’intimé, ainsi qu’auprès des experts du D________, avoir été en mesure de maintenir une activité à un taux d’environ 30 % au sein de sa société en dehors des périodes d’incapacité totale de travail (cf. notamment : écritures du recourant des 2 mars et 5 mai 2022 à l’intimé et attestation du Dr D________ du 3 mai 2022). c) Cela étant, l’analyse des différentes périodes d’incapacité de travail en fonction de la maladie et des deux accidents dont a été victime le recourant a été effectuée au sein du N.________. Aux termes de leur évaluation consensuelle, les experts ont en effet considéré que la capacité de travail du recourant avait évolué comme suit : • 0 % du point de vue oncologique du 30 juin 2014 au 30 juin 2016 ; • 40 % du point de vue oncologique depuis le 30 juin 2016 ; • 0 % (fracture du poignet gauche) du 28 mai au 1er octobre 2016 ; • 0 % (chirurgie d’ablation du matériel d’ostéosynthèse) du 28 juin au 10 juillet 2017 ;</w:t>
      </w:r>
    </w:p>
    <w:p>
      <w:r>
        <w:t>- 25 - • 0 % (traumatisme du poignet droit) de septembre au 30 novembre 2019 ; • 50 % (douleurs résiduelles du poignet droit) du 1er décembre 2019 au 14 juin 2020.</w:t>
      </w:r>
    </w:p>
    <w:p>
      <w:r>
        <w:rPr>
          <w:b/>
        </w:rPr>
        <w:t>E. 8</w:t>
      </w:r>
    </w:p>
    <w:p>
      <w:r>
        <w:t>a) On peut en l’occurrence constater que le rapport d’expertise du N.________ est exhaustif et que les experts se sont déterminés en toute connaissance de cause sur l’ensemble des problématiques évoquées dans le cas du recourant. Les experts ont pris en compte l’évolution de son état de santé, les plaintes alléguées, et ont justifié leurs points de vue respectifs, en fonction des constats cliniques objectifs ressortant à leurs sphères de compétence. Leurs conclusions sont au demeurant dûment motivées et apparaissent globalement en accord avec les appréciations spécialisées (notamment celles du Centre hospitalier B.________, où une capacité résiduelle de travail dans l’activité habituelle de comptable a également été retenue en faveur du recourant), de sorte qu’on ne voit aucune raison objective de s’en écarter. b) En particulier, les observations du registre de la médecine interne générale, investigué par le Dr P.________, ne prêtent pas flanc à la critique. Elles ne sauraient être remises en question par les pièces postérieures à l’expertise du N.________ produites par le recourant, dont il se prévaut au stade de la présente procédure. Le Dr P.________ a souligné l’absence de problème particulier dans sa sphère de compétences, retenant une fissure anale soignée, un polype du côlon excisé, une hyperplasie prostatique sous contrôle et une sinusite ethmoïdale et maxillaire. Quoi qu’en dise le recourant, le Dr P.________ a également pris en considération les problèmes de tension artérielle et de lithiase rénale, à savoir des atteintes à la santé somme toute banales sans incidence durable en termes de capacité de travail. On relèvera d’ailleurs que le cardiologue traitant du recourant, le Dr L.________, n’a prononcé qu’une incapacité de travail totale de quelques mois en lien avec les investigations cardiologiques (cf. certificats de ce praticien produits le 3 mai 2018 et rapport à l’attention de l’intimé du 11 juin 2018). On ajoutera que le recourant ne conteste pas que la lithiase rénale ait été résolue avec</w:t>
      </w:r>
    </w:p>
    <w:p>
      <w:r>
        <w:t>- 26 - le passage spontané du calcul, ce qui ne justifie à l’évidence qu’une courte durée d’incapacité de travail. On ne voit pas enfin que la hernie mise en évidence le 23 juin 2020 – au demeurant connue des experts du N.________ – soit une affection susceptible d’impacter durablement et significativement la capacité de travail, une telle affection ne justifiant en règle générale qu’une intervention ponctuelle et de courte durée. c) S’agissant des conclusions rapportées par la Dre R.________ du point de vue de la médecine physique et réadaptation, cette spécialiste a examiné les conséquences des différents accidents dont a été victime le recourant en se fondant sur les résultats de son examen clinique, ainsi que sur les rapports spécialisés versés au dossier du recourant. Elle a dûment pris en compte les interventions nécessitées par l’état du poignet gauche et les soins prodigués au poignet droit. Elle a, en définitive, suivi pour l’essentiel les certificats d’arrêt de travail à disposition et rejoint la plupart des avis de spécialistes quant à l’exigibilité de l’exercice d’une activité lucrative (cf. notamment : rapport d’expertise du Dr H.________ du 22 mars 2017). A cet égard, les différents certificats dont se prévaut le recourant sont insuffisamment étayés pour remettre en question les conclusions expertales, tandis que le SMR s’est rallié à l’appréciation communiquée par l’experte du N.________ sur le plan locomoteur. Il convient ainsi de suivre l’appréciation de la Dre R.________ en ce qui concerne tant la capacité de travail du recourant que les limitations fonctionnelles retenues. d) Le volet psychiatrique de l’expertise du N.________, analysé par la Dre T.________, ne justifie pas de commentaires spécifiques, en l’absence de tout grief formulé par le recourant et l’intimé, respectivement le SMR, à cet égard. Faute de suivi spécialisé, ainsi que de traitement anxiolytique ou antidépresseur, il convient de retenir l’absence d’affection incapacitante du registre concerné. e) Sur le plan oncologique, la Dre S.________ s’est prononcée sur le lymphome ayant affecté le recourant et sur les conséquences du</w:t>
      </w:r>
    </w:p>
    <w:p>
      <w:r>
        <w:t>- 27 - traitement anti-cancéreux. En dépit de la rémission complète persistante de la maladie, elle a retenu des limitations fonctionnelles, consécutives essentiellement aux effets secondaires des traitements, à savoir une asthénie, des troubles de la concentration, de la mémoire et de l’équilibre. Elle a par ailleurs justifié son appréciation, sur questions du SMR, en soulignant la fréquence des effets secondaires des traitements prodigués au recourant. Les explications de l’experte oncologue apparaissent congruentes avec les constats rapportés par les spécialistes du Centre hospitalier B.________ tout au long du suivi du recourant, au cours du duquel ont été relatés, à maintes reprises, une asthénie et des troubles cognitifs persistants (cf. par exemple : rapports du Centre coordonné d’oncologie du Centre hospitalier B.________ du 15 août 2018 et du Service d’hématologie du Centre hospitalier B.________ du 4 février 2019). f) Dans ce contexte, on ne saurait suivre le point de vue exprimé par le SMR dans son avis du 10 mars 2021, sur la base des conclusions communiquées par la Prof. W.________. On relève en effet que le bilan neuropsychologique du 3 mars 2021 – au demeurant relativement succinct et résultant d’une seule évaluation réalisée alors que le recourant se trouvait déjà à la retraite, sans stress, ni contrainte liée aux exigences d’une activité lucrative, soit dans des circonstances bien différentes de la période échéant en décembre 2020 – apparaît insuffisant pour écarter purement et simplement, les observations rapportées régulièrement dans les rapports spécialisés du Centre hospitalier B.________ et les explications convaincantes fournies par l’experte oncologue du N.________. g) On ajoutera, contrairement à ce qu’a exposé l’intimé, respectivement le SMR dans son avis 10 mars 2021, qu’il apparaît incohérent d’écarter les conclusions consensuelles des experts du N.________ et de se fonder en même temps partiellement sur leurs observations pour trancher le cas particulier. Le but d’une expertise pluridisciplinaire est précisément de procéder à une évaluation tenant compte de la pluralité des atteintes à la santé et de leurs répercussions globales sur l’exigibilité de l’exercice d’une activité lucrative. A cet égard, le N.________ a pleinement rempli sa mission en réalisant un consilium</w:t>
      </w:r>
    </w:p>
    <w:p>
      <w:r>
        <w:t>- 28 - destiné à prendre en considération l’ensemble des circonstances médicales du cas concret pour déterminer l’évolution de la capacité de travail et les limitations fonctionnelles. h) Il s’ensuit qu’il y a lieu de s’en tenir à l’appréciation consensuelle des experts du N.________ pour considérer que le recourant a présenté, au motif de maladie, une incapacité de travail totale du 30 juin 2014 au 30 juin 2016, laquelle s’est poursuivie jusqu’au 1er octobre 2016 en raison de l’affection du poignet gauche. L’incapacité de travail résultant de la maladie oncologique a, en parallèle, été ramenée à 60 % dès le 30 juin 2016 et est demeurée sans changement jusqu’au mois de décembre 2020. Dans l’intervalle, les incapacités de travail supérieures à ce taux de 60 % (soit 100 % du 28 juin au 10 juillet 2017 et 100 % de septembre au 30 novembre 2019 au motif d’accident) n’ont pas été d’une durée de trois mois au moins conformément aux réquisits de l’art. 88a al. 2 RAI, de sorte qu’elles ne modifient pas le droit aux prestations du recourant.</w:t>
      </w:r>
    </w:p>
    <w:p>
      <w:r>
        <w:rPr>
          <w:b/>
        </w:rPr>
        <w:t>E. 9</w:t>
      </w:r>
    </w:p>
    <w:p>
      <w:r>
        <w:t>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Selon la jurisprudence, il est possible de fixer la perte de gain d’un assuré dans la sphère lucrative directement sur la base de son incapacité de travail en faisant une comparaison en pour-cent. Cette</w:t>
      </w:r>
    </w:p>
    <w:p>
      <w:r>
        <w:t>- 29 - méthode constitue une variante admissible de la comparaison des revenus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ou encore lorsque cette activité offre les meilleures possibilités de réintégration professionnelle (TF 9C_237/2016 du 24 août 2016 consid. 2.2 et références citées). c) In casu, il convient de recourir à la méthode d’évaluation de l’invalidité en pour-cent exposée ci-dessus, faute de données économiques actualisées disponibles pour chiffrer précisément la perte de gain subie par le recourant. d) Au terme du délai de carence imposé par l’art. 28 al. 1 let. b LAI, échu en juin 2015, le recourant présentait une incapacité totale de travail dans toutes activités et, par conséquent, un degré d’invalidité de 100 % lui ouvrant le droit à une rente entière de l’assurance-invalidité. Cette prestation a été, à juste titre, servie jusqu’au 31 décembre 2016, correspondant à l’issue du délai de trois mois prévu par l’art. 88a al. 1 RAI. e) Compte tenu de la persistance d’une incapacité de travail de 60 % dans l’activité habituelle au motif de maladie au-delà du 31 décembre 2016, sans changement jusqu’en décembre 2020, le recourant présente, sur la base d’une comparaison en pour-cent, un degré d’invalidité de 60 %, lequel lui donne droit à trois-quarts de rente d’invalidité du 1er janvier 2017 au 31 décembre 2020 (âge légal de la retraite). f) Contrairement à l’avis de l’intimé, il n’y a pas lieu de poser comme condition supplémentaire à l’octroi de prestations au-delà du 31</w:t>
      </w:r>
    </w:p>
    <w:p>
      <w:r>
        <w:t>- 30 - décembre 2016 que le recourant soit soumis à un nouveau délai de carence, celui-ci étant déjà échu au 30 juin 2015 en raison de l’atteinte à la santé oncologique. Dans la mesure où une telle condition supplémentaire découlerait des directives de l’Office fédéral des assurances sociales (OFAS ; Circulaire sur l'invalidité et l'impotence dans l'assurance-invalidité [CIIAI], dans sa version en vigueur dès le 1er janvier 2021, ch. 4002), ces directives n’auraient pas lieu d’être suivies, vu la teneur de la jurisprudence du Tribunal fédéral (cf. ATF 121 V 264 consid. 6a in fine ; cf. également ATF 109 V 125 consid. 4a).</w:t>
      </w:r>
    </w:p>
    <w:p>
      <w:r>
        <w:rPr>
          <w:b/>
        </w:rPr>
        <w:t>E. 10</w:t>
      </w:r>
    </w:p>
    <w:p>
      <w:r>
        <w:t>a) En définitive, le recours doit être partiellement admis. La décision litigieuse est confirmée en tant qu’elle alloue une rente entière d’invalidité au recourant du 1er juin 2015 au 31 décembre 2016 et réformée pour le surplus, en ce sens que le recourant a droit à trois-quarts de rente d’invalidité du 1er janvier 2017 au 31 décembre 2020.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Le recourant obtient partiellement gain de cause et a droit à une indemnité de dépens réduits à titre de participation aux honoraires de son conseil (art. 61 let. g LPGA). Il convient d’arrêter cette indemnité à 3’000 fr., débours et TVA compris (art. 10 et 11 TFJDA [tarif du 28 avril 2015 des frais judiciaires et des dépens en matière administrative ; BLV 173.36.5.1]), et de la porter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