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ZD22.034066 vom 22. August 2024</w:t>
      </w:r>
    </w:p>
    <w:p>
      <w:r>
        <w:t>VD Tribunal cantonal, 2024-08-22, FR</w:t>
      </w:r>
    </w:p>
    <w:p>
      <w:r>
        <w:rPr>
          <w:b/>
        </w:rPr>
        <w:t xml:space="preserve">Quelle: </w:t>
      </w:r>
      <w:r>
        <w:t>https://mcp.opencaselaw.ch/entscheid/vd_gerichte_ZD22.034066</w:t>
      </w:r>
    </w:p>
    <w:p>
      <w:r>
        <w:t>FR: VD_GERICHTE ZD22.034066 du 22 août 2024</w:t>
      </w:r>
    </w:p>
    <w:p>
      <w:r>
        <w:t>IT: VD_GERICHTE ZD22.034066 del 22 agosto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w:t>
      </w:r>
    </w:p>
    <w:p>
      <w:r>
        <w:t>- 11 -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(lege artis ;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w:t>
      </w:r>
    </w:p>
    <w:p>
      <w:r>
        <w:t>- 12 -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w:t>
      </w:r>
    </w:p>
    <w:p>
      <w:r>
        <w:t>- 13 -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- 14 -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w:t>
      </w:r>
    </w:p>
    <w:p>
      <w:r>
        <w:t>- 15 -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rPr>
          <w:b/>
        </w:rPr>
        <w:t>E. 5</w:t>
      </w:r>
    </w:p>
    <w:p>
      <w:r>
        <w:t>a) En l’espèce, l’état de santé du recourant a fait l’objet d’une première évaluation par le Dr B.________ en 2019. Ce dernier a ainsi mis en évidence, dans son rapport du 23 mai 2019, les diagnostics d’épisode dépressif moyen (CIM-10 F32.11) et de trouble mixte de la personnalité (CIM-10 F61.0). Il a en revanche exclu les diagnostics d’état de stress post- traumatique (CIM-10 F43.1) et de trouble déficit de l’attention avec ou sans hyperactivité (TDAH) évoqués par les précédents médecins. Critiquant l’approche thérapeutique de la psychiatre traitante du recourant, il a retenu une capacité de travail nulle dans l’activité habituelle de boulanger et pleine – avec une baisse de rendement de 20 % –, dans une activité adaptée aux limitations d’ordre psychique à compter d’une année après l’adaptation du traitement médicamenteux et la mise en place d’un réentrainement au travail. S’opposant aux conclusions du Dr B.________, l’assuré a alors produit le rapport du 17 janvier 2022 du Dr M.________, lequel reprochait notamment à cet expert d’avoir écarté sans raison légitime les diagnostics d’état de stress post-traumatique et de trouble déficit de l’attention avec ou sans hyperactivité (TDAH). De l’avis de ce spécialiste, le Dr B.________ faisait preuve d’une « méconnaissance totale » de cette seconde atteinte à la santé en déclarant que « si l’assuré avait un TDAH il n’aurait pas pu travailler au même rythme [auquel] il a[vait] travaillé jusqu’en 2016 », dans la mesure où il était tout à fait possible qu’une personne puisse exercer une activité professionnelle malgré un tel trouble, tout en étant ponctuellement attentive au prix d’un effort soutenu ou si la situation était suffisamment</w:t>
      </w:r>
    </w:p>
    <w:p>
      <w:r>
        <w:t>- 16 - stimulante. Les critères diagnostics selon la cinquième édition du Manuel diagnostique et statistique des troubles mentaux (DSM-5) étaient au demeurant remplis. De plus, sur le plan de la médication, l’expert ignorait qu’une proportion non négligeable des patients (entre 20 % et 30 %) souffrant d’un trouble déficit de l’attention ne répondaient pas aux psychostimulants. Enfin, s’agissant du diagnostic d’état de stress post- traumatique, les abus répétés de la part du frère du recourant avaient fini d’enraciner dans la personnalité de ce dernier des tendances cognitives et comportementales dysfonctionnelles. Ces traits de personnalité avaient cependant pu être limités dans leur portée pendant plusieurs années grâce à un contexte socio-professionnel stable, cela avant de se décompenser en février 2016. Dès lors que les constatations du Dr M.________ remettaient indéniablement en cause les conclusions du Dr B.________, en particulier quant à la pose lege artis des diagnostics, le juge instructeur a finalement estimé nécessaire de mettre en œuvre une expertise judiciaire psychiatrique, laquelle a été confiée aux Dres R.________ et F.________. b) Il ressort de cette seconde expertise – réalisée en 2024 – que le recourant présente un trouble mixte de la personnalité à traits dépendants et passifs-agressifs (CIM-10 F61.0), un trouble hyperkinétique (perturbation de l’activité et de l’attention ; CIM-10 F90.0), un épisode dépressif moyen, sans syndrome somatique (CIM-10 F32.10), et un état de stress post-traumatique (CIM-10 F43.1) et que sa capacité de travail est nulle dans toute activité depuis le 20 février 2016. Aussi, il n’existe aucune raison de s’en écarter. Les Dres R.________ et F.________ se sont en effet déterminées de manière circonstanciée sur les points litigieux. Elles ont à ce titre exposé les motifs pour lesquels il convenait de retenir – contrairement à l’avis du Dr B.________ – les diagnostics de trouble déficit de l’attention avec ou sans hyperactivité (TDAH ; ou trouble hyperkinétique) – lequel était apparu durant l’enfance de l’assuré et avait persisté à l’âge adulte – et d’état de stress post-traumatique – lequel était caractérisé par la mise en place de mécanismes d’évitement par l’intéressé. Elles ont de plus indiqué en quoi les arguments du premier expert sur ces points ne pouvaient pas être suivis, en déclarant, d’une</w:t>
      </w:r>
    </w:p>
    <w:p>
      <w:r>
        <w:t>- 17 - part, qu’une personne souffrant d’un trouble déficit de l’attention était capable d’exécuter des tâches qui la passionnaient (à l’instar du recourant avec son métier de boulanger) et, d’autre part, qu’un défaut de réponse à un traitement médicamenteux ne signifiait en aucun cas une absence de maladie. Le rapport d’expertise s’est en outre fondé sur des examens psychiatriques complets, dont six entretiens menés entre août 2023 et janvier 2024, l’examen psychologique effectué en novembre 2023 et plusieurs entretiens téléphoniques avec les médecins traitants, et a été établi en pleine connaissance du dossier. Les plaintes exprimées par l’assuré, notamment sa forte sensibilité au bruit, ses difficultés à rester attentif et à se concentrer ainsi que la fatigue constante, ont pour le reste été prises en compte. La situation médicale a enfin été décrite et appréciée de manière claire et les conclusions relatives à l’estimation de la capacité de travail ont été bien motivées par les deux expertes. A cet égard, ces dernières ont exposé que l’épisode dépressif sévère de février 2016 avait généré une incapacité de travail complète durant plusieurs mois, laquelle avait ensuite été prétéritée par les faibles ressources adaptatives de l’intéressé. Conformément aux exigences jurisprudentielles, les Dres R.________ et F.________ ont posé les différents diagnostics selon les règles de l’art et n’ont pas relevé de motif d’exclusion. Elles ont également procédé à une analyse complète des indicateurs de l’ATF 141 V 281 (cf. supra consid. 3c). Dans ce cadre, elles se sont prononcées sur le degré de gravité des diverses pathologies, en qualifiant le trouble de la personnalité de sévère ainsi que le trouble hyperkinétique et l’épisode dépressif de moyens, tout en précisant que l’influence des symptômes de l’état de stress post-traumatique ne pouvait être isolée de celle de ce deuxième trouble. Elles ont par ailleurs expliqué que le recourant présentait plusieurs comorbidités psychiatriques et somatiques en raison des diagnostics retenus, dont certaines étaient intriquées de manière précoce et avaient fortement contribué à la constitution d’une personnalité pathologique. Cette coexistence entraînait – entre autres limitations fonctionnelles – des difficultés attentionnelles et de concentration, une fatigabilité majeure, une irritation, un sentiment</w:t>
      </w:r>
    </w:p>
    <w:p>
      <w:r>
        <w:t>- 18 - d’agitation interne et une intolérance au bruit. S’agissant du traitement psychiatrique et psychothérapeutique, les deux expertes l’ont jugé adéquat, tout en spécifiant que l’assuré s’était toujours montré compliant sur ce plan. Elles ont de surcroît répondu par la négative à la question de savoir si des mesures de réadaptation professionnelle étaient envisageables, rappelant que toutes les tentatives menées en ce sens par le passé s’étaient soldées par un échec. Elles ont au demeurant fait état de ressources mobilisables diminuées, avec une personnalité dépendante aux autres et se caractérisant notamment par une faible estime de soi, un sentiment d’impuissance et de colère, des traits passifs-agressifs et une rigidité mentale. Elles ont mis en évidence une vie plutôt retirée et un réseau social limité à la sœur, laquelle vivait éloignée, dans le nord de [...], à un ami de longue date et à quelques personnes rencontrées lors d’une activité de promeneur de chiens. Enfin, elles ont considéré comme cohérent le comportement du recourant face aux effets de ses pathologies et à son niveau d’activité. c) Au vu de ce qui précède, il sied donc de se rallier aux conclusions de l’expertise judiciaire du 4 mars 2024 des Dres R.________ et F.________ – étant précisé que l’intimé et son service médical y ont finalement adhéré en mars 2024 – et reconnaître au recourant une incapacité de travail totale dans n’importe quelle activité dès le 20 février 2016. Celle-ci ouvre le droit à une rente entière fondée sur un degré d’invalidité de 100 %.</w:t>
      </w:r>
    </w:p>
    <w:p>
      <w:r>
        <w:rPr>
          <w:b/>
        </w:rPr>
        <w:t>E. 6</w:t>
      </w:r>
    </w:p>
    <w:p>
      <w:r>
        <w:t>a) Il reste à déterminer la date du début du droit à la rente d’invalidité.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Toutefois, le droit ne prend pas naissance tant que</w:t>
      </w:r>
    </w:p>
    <w:p>
      <w:r>
        <w:t>- 19 - l’assuré peut faire valoir son droit à une indemnité journalière au sens de l’art. 22 LAI (art. 29 al. 2 LAI). Selon la jurisprudence, si l’assuré peut prétendre à des prestations de l’assurance-invalidité, l’allocation d’une rente d’invalidité à l’issue du délai d’attente d’une année (cf. art. 28 al. 1 LAI) n’entre en considération que si l’intéressé n’est pas, ou pas encore, susceptible d’être réadapté professionnellement en raison de son état de santé (principe dit de la priorité de la réadaptation sur la rente).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(TF 9C_559/2021 du 14 juillet 2022 consid. 2.2 in fine). c) En l’occurrence, dans le cadre des mesures de réinsertion préparant à la réadaptation professionnelle (art. 14a LAI) et de reclassement (art. 17 LAI), le recourant a bénéficié d’indemnités journalières de l’assurance-invalidité pour les périodes du 23 janvier 2017 au 30 avril 2018 et du 1er septembre 2019 au 14 mars 2021. Il ressort néanmoins du rapport d’expertise judiciaire du 4 mars 2024 des Dres R.________ et F.________ – auquel une pleine valeur probante a été reconnue (cf. supra consid. 5b et 5c) – que sa capacité de travail était nulle déjà en février 2016, à la suite de sa décompensation psychique. Dans ces conditions, force est de constater que l’assuré n’a jamais été susceptible de réadaptation, de sorte que – contrairement à ce que soutient l’intimé – le droit à la rente est né à l’échéance du délai d’attente de six mois de l’art. 29 al. 1 LAI, soit le 1er mars 2017. Les indemnités journalières perçues devront cependant être déduites du montant de la rente versée (cf. TF 9C_559/2021 précité consid. 4.2 in fine).</w:t>
      </w:r>
    </w:p>
    <w:p>
      <w:r>
        <w:rPr>
          <w:b/>
        </w:rPr>
        <w:t>E. 7</w:t>
      </w:r>
    </w:p>
    <w:p>
      <w:r>
        <w:t>a) Subsiste encore la question de la prise en charge des frais de l’expertise judiciaire du 4 mars 2024 des Dres R.________ et F.________.</w:t>
      </w:r>
    </w:p>
    <w:p>
      <w:r>
        <w:t>- 20 - b)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(cf. ATF 139 V 496 consid. 4.3 ; 139 V 349 consid. 5.4), les frais qui découlent de la mise en œuvre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c) En l’espèce, le Dr M.________ a mis en évidence, dans son rapport du 17 janvier 2022 – dont l’intimé a pris connaissance avec l’opposition de l’assuré à son projet de décision du 27 octobre 2021 –, les importantes lacunes de l’expertise du 23 mai 2019 du Dr B.________ en ce qui concernait notamment les diagnostics de trouble déficit de l’attention avec ou sans hyperactivité (TDAH) et d’état de stress post-traumatique.</w:t>
      </w:r>
    </w:p>
    <w:p>
      <w:r>
        <w:t>- 21 - Ces derniers avaient été écartés sans justification valable, alors que des éléments parlant en leur faveur ressortaient de l’anamnèse. Toutefois, dans son avis du 1er mars 2022, la Dre L.________, du SMR, s’est contentée d’affirmer que l’appréciation de ce premier spécialiste ne permettait pas de remettre en doute les conclusions de l’expertise, sans se montrer plus critique à son égard. Les Dres R.________ et F.________ ont finalement posé, selon les règles de l’art, les deux diagnostics précités et explicité de manière claire et compréhensible leurs conséquences négatives sur la capacité de travail du recourant. Dans ces circonstances, la Cour de céans ne pouvait que constater que l’intimé avait gravement manqué à ses obligations dans le cadre de son instruction, en accordant une pleine valeur probante à un rapport d’expertise dont les carences ne pouvaient être que manifestes au regard de la complexité de la situation médicale du recourant, laquelle avait été mise en évidence par le Dr M.________ et les médecins traitants. L’expertise judiciaire a servi à pallier les manquements commis dans la phase d’instruction administrative. Il se justifie en conséquence de mettre la totalité des frais de l’expertise judiciaire, soit 10'666 fr. (10'050 fr. d’honoraires et 616 fr. pour l’examen psychologique du 3 janvier 2024), à la charge de l’intimé.</w:t>
      </w:r>
    </w:p>
    <w:p>
      <w:r>
        <w:rPr>
          <w:b/>
        </w:rPr>
        <w:t>E. 8</w:t>
      </w:r>
    </w:p>
    <w:p>
      <w:r>
        <w:t>a) En définitive, le recours, bien fondé, doit être admis et la décision rendue le 21 juin 2022 par l’intimé réformée en ce sens que le recourant a droit à une rente entière d'invalidité à compter du 1er mars 2017.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8</w:t>
      </w:r>
    </w:p>
    <w:p>
      <w:r>
        <w:t>- 22 - avril 2024 par Me Marc Mathey-Doret, compte tenu de l’importance et de la complexité du litige, il convient d’arrêter cette indemnité à 2'300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compte tenu d’un tarif de 180 fr. de l’heure (art. 2 al. 1 let. a RAJ [règlement cantonal vaudois du 7 décembre 2010 sur l’assistance judiciaire en matière civile ; BLV 211.02.3]). Il n’y a donc pas lieu, en l’état tout au moins, de fixer plus précisément cette indemnité (art. 4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