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ZD22.027465 vom 14. März 2023</w:t>
      </w:r>
    </w:p>
    <w:p>
      <w:r>
        <w:t>VD Tribunal cantonal, 2023-03-14, FR</w:t>
      </w:r>
    </w:p>
    <w:p>
      <w:r>
        <w:rPr>
          <w:b/>
        </w:rPr>
        <w:t xml:space="preserve">Quelle: </w:t>
      </w:r>
      <w:r>
        <w:t>https://mcp.opencaselaw.ch/entscheid/vd_gerichte_ZD22.027465</w:t>
      </w:r>
    </w:p>
    <w:p>
      <w:r>
        <w:t>FR: VD_GERICHTE ZD22.027465 du 14 mars 2023</w:t>
      </w:r>
    </w:p>
    <w:p>
      <w:r>
        <w:t>IT: VD_GERICHTE ZD22.027465 del 14 marzo 2023</w:t>
      </w:r>
    </w:p>
    <w:p>
      <w:pPr>
        <w:pStyle w:val="Heading2"/>
      </w:pPr>
      <w:r>
        <w:t>Erwägungen</w:t>
      </w:r>
    </w:p>
    <w:p>
      <w:r>
        <w:rPr>
          <w:b/>
        </w:rPr>
        <w:t>E. 5</w:t>
      </w:r>
    </w:p>
    <w:p>
      <w:r>
        <w:t>a) En définitive, le recours, mal fondé, doit être rejeté et la décision de l’intimé du 13 juin 2022 confirmée. b)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c) Il n’y a pas lieu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