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ZD22.026225 vom 8. Juni 2023</w:t>
      </w:r>
    </w:p>
    <w:p>
      <w:r>
        <w:t>VD Tribunal cantonal, 2023-06-08, FR</w:t>
      </w:r>
    </w:p>
    <w:p>
      <w:r>
        <w:rPr>
          <w:b/>
        </w:rPr>
        <w:t xml:space="preserve">Quelle: </w:t>
      </w:r>
      <w:r>
        <w:t>https://mcp.opencaselaw.ch/entscheid/vd_gerichte_ZD22.026225</w:t>
      </w:r>
    </w:p>
    <w:p>
      <w:r>
        <w:t>FR: VD_GERICHTE ZD22.026225 du 8 juin 2023</w:t>
      </w:r>
    </w:p>
    <w:p>
      <w:r>
        <w:t>IT: VD_GERICHTE ZD22.026225 del 8 giugno 2023</w:t>
      </w:r>
    </w:p>
    <w:p>
      <w:pPr>
        <w:pStyle w:val="Heading2"/>
      </w:pPr>
      <w:r>
        <w:t>Erwägungen</w:t>
      </w:r>
    </w:p>
    <w:p>
      <w:r>
        <w:rPr>
          <w:b/>
        </w:rPr>
        <w:t>E. 4</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- 13 -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A l’appui de sa première demande de prestations, l’assurée a indiqué souffrir d'une polyarthrite rhumatoïde chronique et de la maladie auto-immune de Gougerot-Sjögren. Elle n’était alors pas en incapacité de travail mais son poste était de plus en plus difficile à assumer. Dans sa décision du 12 janvier 2017, l’OAI avait retenu que l’assurée avait bénéficié d’un soutien à la réadaptation et que dans sa nouvelle activité elle réalisait le même revenu que dans son ancien poste de technicienne. Ainsi, en l’absence d’incapacité de travail durable et de toute perte économique, les conditions requises pour l’octroi d’une rente d’invalidité n’étaient pas remplies. b) L’assurée a déposé une deuxième demande, le 19 décembre 2019, en raison d’une aggravation de son état de santé. Incapable de travailler depuis le 28 octobre 2019, l’assurée a été</w:t>
      </w:r>
    </w:p>
    <w:p>
      <w:r>
        <w:t>- 14 - hospitalisée du 31 octobre au 2 décembre 2019 en raison de pics fébriles. Au cours de son hospitalisation, le diagnostic de lupus érythémateux systémique avec glomérulonéphrite, atteinte articulaire, syndrome sec et syndrome de fatigue chronique a été posé (cf. rapport du 17 avril 2020 de la Dre L.________). Si l’aggravation de la situation, en octobre 2019, n’est pas contestée, c’est en revanche au sujet de l’amélioration de l’état de santé que l’avis des parties diverge. L’OAI estime pour sa part, se fondant en particulier sur les constatations du Dr B.________, que l’assurée a recouvré une capacité de travail de 70 % dans son activité habituelle – laquelle est adaptée à ses limitations fonctionnelles – depuis le</w:t>
      </w:r>
    </w:p>
    <w:p>
      <w:r>
        <w:rPr>
          <w:b/>
        </w:rPr>
        <w:t>E. 8</w:t>
      </w:r>
    </w:p>
    <w:p>
      <w:r>
        <w:t>décembre 2020. L’appréciation du Dr B.________ rejoint celle des experts du Centre D.________. La recourante considère en revanche que son état de santé ne s’est pas amélioré et qu’elle demeure ainsi totalement incapable de travailler, comme l’attestent ses médecins traitants. aa) En l’espèce, le Dr B.________ a procédé à une analyse des ressources et des empêchements de l’assurée, en mettant en évidence des incohérences. Il s’agit-là d’éléments indispensables à l’analyse du droit à une rente sous l’angle de l’AI. Pour le surplus, les appréciations du Centre D.________ et du Dr B.________ se rejoignent. En outre, toutes deux se fondent sur des examens cliniques complets, prennent en considération les plaintes – spontanées et dirigées – de l’assurée, comprennent une anamnèse détaillée, décrivent le contexte médical et comportent des conclusions claires et motivées. Le Dr B.________ et les experts du Centre D.________ ont ainsi réalisé des examens cliniques poussés, comprenant un status général, neurologique et ostéoarticulaire. Le Dr B.________ a ainsi constaté qu’en dépit des douleurs signalées, l’assurée pouvait réaliser les mouvements demandés, notamment la montée d’escaliers, la marche sur les talons et sur la pointe des pieds (seulement ébauchée), les changements de position assis-debout-couché, la mobilisation du rachis, les mouvements d’antépulsion, d’abduction et de rotation interne des épaules, les mouvements de flexion-extension des poignets, la mobilisation des doigts et des hanches, la flexion des genoux. Du point de vue neurologique, le Dr B.________ a constaté des réflexes ostéotendineux vifs et symétriques, des réflexes cutanés plantaires en flexion, une</w:t>
      </w:r>
    </w:p>
    <w:p>
      <w:r>
        <w:t>- 15 - musculature peu développée et une faible résistance lors de l’évaluation de la force. Il est rejoint par les constatations de l’expert R.________, lequel a encore examiné le status abdomino-pelvien, dermatologique et ophtalmologique. Il ne ressort de son examen abdomino-pelvien aucune particularité, ni douleur, ni contracture, ni hernie palpable. L’expert n’a objectivé aucune sécheresse de peau. Du point de vue ophtalmologique, l’acuité visuelle était de 0/10 sans correction et de 12/10 avec correction. Il a relevé que le diabète était équilibré sous traitement et considéré que la dyspnée à l’effort n’était pas incapacitante dans un travail sédentaire. Les experts du Centre D.________ ont signalé un discret syndrome fibromyalgique associé. Le Dr B.________ a précisé à cet égard que cela était banal en cas de maladie auto-immune, comme celle présentée par l’assurée, et qu’il existait des similitudes entre les manifestations de la fibromyalgie et d’un lupus érythémateux provoquant fatigue et douleurs. Le Dr B.________ a rejoint les constatations des experts, s’agissant de la fatigue et des douleurs alléguées par l’assurée. Il a toutefois relevé plusieurs incohérences au cours de son examen en ce sens que les plaintes douloureuses ne correspondent pas à la gestuelle de l’assurée. Ainsi, alors que l’assurée déclare ne pas pouvoir rester assise plus de 10 à 15 minutes, elle reste assise durant toute la durée de l’entretien. Sa boiterie à gauche n’est pas présente lors de la montée des escaliers. Lors du déshabillage, l'assurée indique qu'elle ne peut enlever ses pantalons et ses chaussettes qu'en s'asseyant par terre, alors que le rhabillage s'effectue en position assise sur une chaise. L'assurée signale des douleurs du genou gauche lors de la manœuvre de Lasègue en décubitus dorsal mais pas en position assise. Lors de l'évaluation de la force, l'assurée lâche contre une faible résistance qui, si elle représentait la force réelle, ne lui permettrait pas de tenir debout. Le Dr B.________ a dès lors retenu qu’il y avait de nombreuses autolimitations et des manifestations algiques dépendantes de la situation. Fort de ces éléments, et au vu d’une situation stabilisée, le Dr B.________ a rejoint les conclusions des experts s’agissant de la capacité de travail de l’assurée dans une activité adaptée, soit 70 % (activité à</w:t>
      </w:r>
    </w:p>
    <w:p>
      <w:r>
        <w:t>- 16 - plein temps avec une diminution de rendement de 30 % pour tenir compte de la fatigue, des douleurs, du syndrome sec et de la polyurie). L’appréciation faite par la Dre L.________ d’un rendement diminué de 50 à 60 % ne prend pas en compte les autolimitations constatées (cf. rapport du 3 mai 2021), de sorte qu’elle a été écartée à juste titre par le Dr B.________. Le Dr B.________ et les experts du Centre D.________ considèrent que l’activité habituelle de bureau est adaptée aux limitations fonctionnelles, à savoir pas d’activités répétitives ou contre résistance, ni au-dessus de la tête ou en zone basse, pas de postures statiques, possibilité de se lever une fois par heure, pas de descentes fréquentes d’escaliers, pas de marche au-delà de 20 minutes et environnement tempéré. Les experts ne se sont toutefois pas prononcés sur la date à laquelle la reprise d’une activité était exigible. Le Dr B.________, se fondant sur l’ensemble des pièces au dossier, l’a fixée au 8 décembre 2020, dès lors qu’à cette date, la Dre L.________ a constaté que l’état de santé était stabilisé sous traitement et qu’il s’était amélioré. bb) Les rapports des Drs L.________ et V.________ auxquels se rapporte la recourante ne permettent pas de remettre sérieusement en cause les constatations du Dr B.________ et des experts du Centre D.________. En effet, ces rapports se limitent dans une large mesure à contester l’appréciation de ces derniers sans mettre en évidence une erreur factuelle ou d’argumentation de leur part. L’appréciation des médecins traitants n’est ainsi pas suffisamment étayée et ne peut être suivie. Par ailleurs, la recourante, et certains rapports auxquels elle se réfère, semble accorder une importance déterminante à un avis du SMR dans lequel celui-ci était prêt à reconnaître, en 2015, une incapacité de travail de 50 %. Cet avis, posé au terme d’un rapport relativement sommaire, était toutefois conditionné au fait qu’une incapacité de travail soit effectivement attestée – alors que l’assurée refusait catégoriquement tout arrêt de travail à l’époque – et n’a quoi qu’il en soit pas été suivi par l’octroi d’une rente d’invalidité correspondante, au contraire.</w:t>
      </w:r>
    </w:p>
    <w:p>
      <w:r>
        <w:t>- 17 - Les nouvelles atteintes pulmonaires et cardiaques dont la recourante fait état dans sa réplique sont postérieurs à la décision litigieuse, de sorte qu’elles ne peuvent être prises en considération dans le cadre du présent recours. Elles sont quoi qu’il en soit toujours en cours d’investigation. c) Vu ce qui précède, il y a lieu de retenir que l’assurée s’est retrouvée totalement incapable de travailler dans toutes activités dès le 28 octobre 2019, début du délai d’attente d’un an. Le 28 octobre 2020, elle était toujours totalement incapable de travailler dans toutes activités. Le droit à une rente entière est par conséquent ouvert, comme l’a admis l’OAI dans sa réponse du 7 septembre 2022. A partir du 8 décembre 2020, l’assurée a recouvré une capacité de travail de 70 % dans son activité habituelle et toutes activités adaptées à ses limitations fonctionnelles. Le préjudice économique s’élève ainsi à 30 %, ce qui est inférieur au seuil de 40 % nécessaire à l’octroi d’une rente. Le droit à la rente entière d’invalidité s’éteint donc le 31 mars 2021, soit trois mois après la date à laquelle l’état de santé s’est amélioré (art. 88a al. 1 RAI). Des mesures d’ordre professionnel ne sont pas justifiées, l’activité habituelle étant considérée comme adaptée. L’assurée a par conséquent droit à une rente entière d’invalidité pour une période limitée, du 1er octobre 2020 au 31 mars 2021. 7. a) Le recours doit être partiellement admis et la décision entreprise doit être réformée en ce sens que la recourante a droit à une rente entière d’invalidité limitée dans le temps, pour la période du 1er octobre 2020 au 31 mars 2021. b) La procédure de recours en matière de contestations portant sur l’octroi ou le refus de prestations de l’assurance-invalidité est soumise à des frais de justice (art. 69 al. 1bis LAI).</w:t>
      </w:r>
    </w:p>
    <w:p>
      <w:r>
        <w:t>- 18 - Vu l’issue du litige, à savoir une admission très partielle du recours, il convient de répartir les frais judiciaires à raison de deux tiers pour la partie recourante et d’un tiers pour l’intimé. Les frais judiciaires, arrêtés à 600 fr., seront mis à la charge de la recourante par 400 fr. et à la charge de l’intimé par 200 francs. c) La recourante, qui obtient très partiellement gain de cause avec l’assistance d’un mandataire qualifié, a droit à des dépens réduits, qu’il convient de fixer à 600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