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ZD22.024318 vom 28. April 2023</w:t>
      </w:r>
    </w:p>
    <w:p>
      <w:r>
        <w:t>VD Tribunal cantonal, 2023-04-28, FR</w:t>
      </w:r>
    </w:p>
    <w:p>
      <w:r>
        <w:rPr>
          <w:b/>
        </w:rPr>
        <w:t xml:space="preserve">Quelle: </w:t>
      </w:r>
      <w:r>
        <w:t>https://mcp.opencaselaw.ch/entscheid/vd_gerichte_ZD22.024318</w:t>
      </w:r>
    </w:p>
    <w:p>
      <w:r>
        <w:t>FR: VD_GERICHTE ZD22.024318 du 28 avril 2023</w:t>
      </w:r>
    </w:p>
    <w:p>
      <w:r>
        <w:t>IT: VD_GERICHTE ZD22.024318 del 28 aprile 2023</w:t>
      </w:r>
    </w:p>
    <w:p>
      <w:pPr>
        <w:pStyle w:val="Heading2"/>
      </w:pPr>
      <w:r>
        <w:t>Erwägungen</w:t>
      </w:r>
    </w:p>
    <w:p>
      <w:r>
        <w:rPr>
          <w:b/>
        </w:rPr>
        <w:t>E. 4</w:t>
      </w:r>
    </w:p>
    <w:p>
      <w:r>
        <w:t>LAI (cf. consid. 4g ci-dessus), le droit à l’allocation naît au terme d’un délai de carence d’un an, lequel a in casu commencé à courir le 1er novembre 2019. Par conséquent et contrairement aux allégations de la recourante, c’est à bon droit que l’intimé a arrêté la date du premier versement au 1er novembre 2020. c) Cela étant constaté et compte tenu de l’issue du litige, la question de savoir si la recourante nécessite un accompagnement durable pour faire face aux nécessités de la vie au sens de l’art. 38 RAI, sans incidence sur le degré d’impotence retenu par la Cour de céans, peut rester ouverte.</w:t>
      </w:r>
    </w:p>
    <w:p>
      <w:r>
        <w:rPr>
          <w:b/>
        </w:rPr>
        <w:t>E. 7</w:t>
      </w:r>
    </w:p>
    <w:p>
      <w:r>
        <w:t>a) Sur le vu de ce qui précède, le recours, bien fondé, doit être admis et la décision attaquée réformée en ce sens que la recourante a droit à une allocation pour impotent de degré moyen dès le 1er novembre 2020.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2'800 fr., débours et TVA compris (art. 10 et 11 TFJDA [tarif du 28 avril 2015 des frais judiciaires et des dépens en matière administrative ; BLV 173.36.5.1]), et de la mettre à la charge de la partie intimée.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