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ZD22.024152 vom 8. Mai 2023</w:t>
      </w:r>
    </w:p>
    <w:p>
      <w:r>
        <w:t>VD Tribunal cantonal, 2023-05-08, FR</w:t>
      </w:r>
    </w:p>
    <w:p>
      <w:r>
        <w:rPr>
          <w:b/>
        </w:rPr>
        <w:t xml:space="preserve">Quelle: </w:t>
      </w:r>
      <w:r>
        <w:t>https://mcp.opencaselaw.ch/entscheid/vd_gerichte_ZD22.024152</w:t>
      </w:r>
    </w:p>
    <w:p>
      <w:r>
        <w:t>FR: VD_GERICHTE ZD22.024152 du 8 mai 2023</w:t>
      </w:r>
    </w:p>
    <w:p>
      <w:r>
        <w:t>IT: VD_GERICHTE ZD22.024152 del 8 maggio 2023</w:t>
      </w:r>
    </w:p>
    <w:p>
      <w:pPr>
        <w:pStyle w:val="Heading2"/>
      </w:pPr>
      <w:r>
        <w:t>Erwägungen</w:t>
      </w:r>
    </w:p>
    <w:p>
      <w:r>
        <w:rPr>
          <w:b/>
        </w:rPr>
        <w:t>E. 13</w:t>
      </w:r>
    </w:p>
    <w:p>
      <w:r>
        <w:t>LAI, être remboursées sans limitation de durée. e) Compte tenu de ce qui précède, c’est à bon droit que l’intimé a refusé la prise en charge de la psychothérapie suivie par le recourant, que ce soit sous l’angle de l’art. 13 LAI ou de celui de l’art. 12 LAI. 6. Il s’ensuit que le recours doit être rejeté et la décision entreprise confirmée.</w:t>
      </w:r>
    </w:p>
    <w:p>
      <w:r>
        <w:t>- 28 -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