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ZD22.022576 vom 30. Oktober 2023</w:t>
      </w:r>
    </w:p>
    <w:p>
      <w:r>
        <w:t>VD Tribunal cantonal, 2023-10-30, FR</w:t>
      </w:r>
    </w:p>
    <w:p>
      <w:r>
        <w:rPr>
          <w:b/>
        </w:rPr>
        <w:t xml:space="preserve">Quelle: </w:t>
      </w:r>
      <w:r>
        <w:t>https://mcp.opencaselaw.ch/entscheid/vd_gerichte_ZD22.022576</w:t>
      </w:r>
    </w:p>
    <w:p>
      <w:r>
        <w:t>FR: VD_GERICHTE ZD22.022576 du 30 octobre 2023</w:t>
      </w:r>
    </w:p>
    <w:p>
      <w:r>
        <w:t>IT: VD_GERICHTE ZD22.022576 del 30 ottobre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w:t>
      </w:r>
    </w:p>
    <w:p>
      <w:r>
        <w:t>- 12 -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- 13 -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Dans sa décision du 5 mai 2022, l’intimé s’est fondé sur le rapport d’expertise pluridisciplinaire du 26 mars 2021 du L.________ pour retenir que le recourant a présenté, entre les mois d’août 2017 et janvier 2019, une capacité de travail entière avec une diminution de rendement de 20 % dans une activité adaptée à ses limitations fonctionnelles, puis à compter de cette date une capacité de travail de 50 % en raison de la symptomatologie dépressive. b) Il y a lieu de constater que le recourant présente principalement des lombalgies chroniques, des cervicalgies chroniques avec cervico-brachialgies, des gonalgies bilatérales, une symptomatologie dépressive ainsi que des migraines. c) A l’instar du recourant, il y a lieu d’admettre que l’expertise pluridisciplinaire du L.________ soulève de nombreuses interrogations. aa) En ce qui concerne le volet rhumatologique, il convient de constater, sur la forme, qu’il n’a pas été confié à un spécialiste en rhumatologie comme cela avait été requis dans le mandat d’expertise (cf. mandat d’expertise pluridisciplinaire du 20 novembre 2020 établi par l’OAI), mais à un spécialiste en médecine physique et réadaptation. Ensuite, sur le fond, la Dre S.________ a diagnostiqué des lombo-cruralgies</w:t>
      </w:r>
    </w:p>
    <w:p>
      <w:r>
        <w:t>- 14 - gauches sur atteinte d’un disque intervertébral L3-L4 non déficitaires. Au terme de son analyse, elle estime la capacité de travail résiduelle du recourant à 100 % avec une diminution de rendement de l’ordre de 20 %, soit une capacité de travail de 80 % dans toute activité adaptée aux limitations fonctionnelles retenues (changement possible de positions assis-debout, pas de position en porte-à-faux sur le rachis, pas de port répété de charges légères supérieures à cinq-dix kilos et pas de manipulation de machines dangereuses dans le contexte de la prise de Tramadol®), avec la précision que la baisse de rendement est en lien avec le besoin de pauses courtes répétées. Cela étant, il y a lieu de relever que l’analyse effectuée par la Dre S.________ apparaît particulièrement superficielle au regard de l’ensemble des pathologies de l’appareil locomoteur présentées par le recourant. Outre le caractère particulièrement sommaire des observations cliniques rapportées par ce médecin (cf., en comparaison, le status décrit par le Dr F.________ dans son rapport du 27 mars 2023), il semble que celle-ci ait focalisé son attention sur la problématique lombaire, singulièrement sur l’articulation L3-L4. A aucun moment elle ne discute des différents diagnostics mentionnés par le Dr F.________ dans son rapport du 10 septembre 2020, singulièrement des atteintes – mises en évidence dans une IRM lombaire du 25 février 2019 – aux niveaux L2-L3, L4-L5 et L5-S1 ; la problématique des gonalgies – évoquées dans différentes pièces versées au dossier – n’est pas abordée ; quant à la problématique des cervicalgies mécaniques – mentionnées dans les plaintes du recourant –, elle n’est discutée nulle part. Dans son rapport du 27 mars 2023, le Dr F.________ a estimé que l’importance du caractère douloureux vertébral avait été sous-estimée dans l’expertise, malgré l’existence d’atteintes structurelles objectivables chez une personne qui avait épuisé ses capacités adaptatives motrices à la suite de l’apparition de gonalgies bilatérales en lien avec des troubles également dégénératifs. bb) S’agissant du volet psychiatrique, le Dr X.________ a diagnostiqué un épisode dépressif moyen avec syndrome somatique existant depuis 2017 et estimé que le recourant était « capable de travailler à 50% par temps possible passé au travail de 100%, avec perte</w:t>
      </w:r>
    </w:p>
    <w:p>
      <w:r>
        <w:t>- 15 - de rendement de 50%, depuis janvier 2019 », compte tenu de la présence d’une tristesse et d’une humeur dépressive, d’un sentiment d’infériorité, de dévalorisation et d’inutilité, avec une nervosité et un élan vital perturbé ainsi que des idées noires avec scénario. Selon l’expert psychiatre, une capacité de travail totale, sans baisse de rendement, pouvait être attendue dans un délai de six mois en cas d’évolution favorable après un changement du traitement antidépresseur. Cela étant, il convient de mettre en évidence le caractère sommaire et relativement superficiel de l’analyse effectuée par le Dr X.________, lequel dresse une anamnèse relativement brève et rapporte des constatations cliniques peu détaillées. Le diagnostic retenu n’est pas étayé sur la base d’un examen circonstancié de la situation et, partant, les explications relatives à la capacité de travail apparaissent difficilement compréhensibles. Pour le surplus, l’expert psychiatre ne se détermine pas par rapport aux autres avis médicaux exprimés au cours de la procédure. Or, le 26 juin 2019, le psychiatre traitant de l’époque – le Dr Q.________ – diagnostiquait un épisode dépressif moyen, avec syndrome somatique en retenant une incapacité de travail totale depuis le 28 août 2017. Dans un rapport non daté, le Dr P.________ décrivait quant à lui une symptomatologie aggravée en raison de la chronicité des symptômes algiques et par les difficultés de la situation du recourant. cc) S’agissant du volet de médecine interne générale, la Dre E._________ a posé le diagnostic de migraines sans aura et relevé l’absence d’atteinte incapacitante à la santé retenant simplement une baisse de rendement de 10 % en lien avec la survenance de crises migraineuses chroniques deux fois par semaine. Cela étant, l’évaluation médicale et médico-assurantielle se révèle être particulièrement brève et pas motivée, suscitant des doutes quant au caractère exhaustif de l’analyse effectuée par ce médecin. dd) Quant à l’appréciation consensuelle, force est de constater qu’elle est particulièrement laconique. Tout au plus peut-on y lire que la « capacité de travail [est] de 100 % sur un taux horaire de 100% avec baisse de rendement de 20%, dès août 2017 jusqu’à janvier 2019, puis</w:t>
      </w:r>
    </w:p>
    <w:p>
      <w:r>
        <w:t>- 16 - capacité de travail de 50 % sur un taux horaire de 100 % depuis lors ». Ces explications sont insuffisantes pour permettre à la Cour de céans de se rallier à cette évaluation, étant entendu qu’une diminution de rendement de 20 % est retenue par la Dre S.________ depuis août 2017, qu’une diminution de la capacité de travail de 50 % est prise en compte par l’expert psychiatre depuis janvier 2019 et qu’une diminution de rendement de 10 % est en outre décrite par la Dre E._________ à compter d’août 2017. Ces appréciations relevant de problématiques différentes, les experts auraient dû expliquer si et, le cas échéant, dans quelle mesure, elles se recoupaient. En effet, l'un des objectifs d'une expertise multi- ou bidisciplinaire est précisément d'établir, dans un rapport de synthèse, si les incapacités de travail attestées par divers spécialistes se recouvrent partiellement ou entièrement, le taux d'incapacité de travail procédant toujours d'une évaluation globale (TF 9C_1021/2012 du 3 juillet 2013 consid. 3.3). d) En tout état de cause, les explications fournies dans l’appréciation du SMR du 7 mars 2023 ne permettent pas de palier aux importantes lacunes de l’expertise pluridisciplinaire. e) Au final, compte tenu des remarques formulées par le Dr F.________ dans son rapport du 27 mars 2023, il y a lieu de dénier toute valeur probante à l’expertise pluridisciplinaire réalisée par le L.________. En l’absence d’analyse exhaustive de la situation médicale du recourant, il convient par conséquent de renvoyer la cause à l’office intimé, autorité à qui il incombe en premier lieu d’instruire, conformément au principe inquisitoire qui régit la procédure dans le domaine des assurances sociales (art. 43 al. 1 LPGA), afin qu’il mette en œuvre une nouvelle expertise pluridisciplinaire (comprenant notamment un examen de médecine interne générale, un examen rhumatologique et un examen psychiatrique) conforme aux exigences découlant de l’art. 44 LPGA.</w:t>
      </w:r>
    </w:p>
    <w:p>
      <w:r>
        <w:rPr>
          <w:b/>
        </w:rPr>
        <w:t>E. 6</w:t>
      </w:r>
    </w:p>
    <w:p>
      <w:r>
        <w:t>Compte tenu de l’issue du litige, la question du calcul du taux d’invalidité, singulièrement celle de l’abattement sur le salaire statistique</w:t>
      </w:r>
    </w:p>
    <w:p>
      <w:r>
        <w:t>- 17 - pris en compte pour fixer le revenu d’invalide, n’a pas à être examinée à ce stade et peut rester ouverte.</w:t>
      </w:r>
    </w:p>
    <w:p>
      <w:r>
        <w:rPr>
          <w:b/>
        </w:rPr>
        <w:t>E. 7</w:t>
      </w:r>
    </w:p>
    <w:p>
      <w:r>
        <w:t>a) En définitive, le recours doit être admis, la décision attaquée annulée et la cause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