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ZD22.021200 vom 23. Mai 2025</w:t>
      </w:r>
    </w:p>
    <w:p>
      <w:r>
        <w:t>VD Tribunal cantonal, 2025-05-23, FR</w:t>
      </w:r>
    </w:p>
    <w:p>
      <w:r>
        <w:rPr>
          <w:b/>
        </w:rPr>
        <w:t xml:space="preserve">Quelle: </w:t>
      </w:r>
      <w:r>
        <w:t>https://mcp.opencaselaw.ch/entscheid/vd_gerichte_ZD22.021200</w:t>
      </w:r>
    </w:p>
    <w:p>
      <w:r>
        <w:t>FR: VD_GERICHTE ZD22.021200 du 23 mai 2025</w:t>
      </w:r>
    </w:p>
    <w:p>
      <w:r>
        <w:t>IT: VD_GERICHTE ZD22.021200 del 23 maggio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L’assuré a droit à une rente si sa capacité de gain ou sa capacité d’accomplir ses travaux habituels ne peut pas être rétablie,</w:t>
      </w:r>
    </w:p>
    <w:p>
      <w:r>
        <w:t>- 12 -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bb)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(comparaison des revenus), étant toutefois précisé que depuis le 1er janvier 2018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(méthode spécifique). Les taux d’invalidité ainsi calculés sont ensuite pondérés en proportion de la part du temps</w:t>
      </w:r>
    </w:p>
    <w:p>
      <w:r>
        <w:t>- 13 - consacrée à chacun des deux domaines d’activité, avant d’être additionnés pour fixer le taux d’invalidité globale. C’est la méthode mixte d’évaluation de l’invalidité (art. 28a al. 3 LAI et 27bis al. 2 à 4 RAI).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t>- 14 -</w:t>
      </w:r>
    </w:p>
    <w:p>
      <w:r>
        <w:rPr>
          <w:b/>
        </w:rPr>
        <w:t>E. 4</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141 V 281 consid. 5.2.1 ; 132 V 93 consid. 4 avec les références citées ; TF 9C_39/2021 du 6 décembre 2021 consid. 3.2).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- 15 -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6</w:t>
      </w:r>
    </w:p>
    <w:p>
      <w:r>
        <w:t>a) En l’espèce, l’évaluation de l’état de santé de la recourante doit s’apprécier en comparaison avec la décision sur opposition de l’office intimé du 16 mars 2005, confirmée par jugement du 9 mai 2006 (TASS AI 80/05 – 112/2006), refusant le droit à une rente d’invalidité. b) L’OAI est entré en matière sur la nouvelle demande de prestations déposée le 21 mars 2017 par la recourante mais l’a rejetée sur la base des renseignements ressortant du dossier, dont en particulier trois expertises médicales. c) Dans le cadre du mandat d’expertise judiciaire, la recourante a été examinée à quatre reprises par la Dre V.________, spécialiste en psychiatrie et psychothérapie, qui a posé les diagnostics, selon la CIM-11, de trouble de stress post-traumatique complexe (6B41),</w:t>
      </w:r>
    </w:p>
    <w:p>
      <w:r>
        <w:t>- 16 - de trouble dissociatif à symptômes neurologiques (6B60), de trouble à symptomatologie somatique (6C20) et de trouble dépressif récurrent actuellement en rémission complète (6A71.7) ainsi que les diagnostics de trouble stress post-traumatique avec symptômes dissociatifs (309.81), de trouble de conversion (300.11), de trouble à symptomatologie somatique (300.82) et de trouble dépressif caractérisé non spécifié, épisodes récurrents (296.30), selon le DSM-5. Au terme de son appréciation globale de la situation qui s’accorde avec la totalité des avis des médecins consultés, l’experte judiciaire retient qu’en raison de la gravité de l’atteinte de base, remontant à l’enfance, de la chronicisation des troubles avec aggravation de leur intensité sur les vingt dernières années, notamment sur le plan psychiatrique et de l’apparition d’autres manifestations symptomatiques comme les atteintes neurologiques fonctionnelles, la recourante est totalement incapable de travailler depuis le 27 septembre 2016. d) En l’occurrence, les parties s’accordent – à juste titre – pour reconnaître pleine valeur probante au rapport d’expertise judiciaire du 25 novembre 2024 de la Dre V.________, d’excellente facture. e) Selon les conclusions du rapport d’expertise judiciaire du 25 novembre 2024 de la Dre V.________, la recourante présente depuis le 27 septembre 2016, une capacité de travail nulle dans toute activité. Le début du droit à la rente est fixé à l’échéance du délai d’attente d’une année, et la rente est versée dès le début du mois au cours duquel le droit prend naissance (cf. art. 29 al. 3 LAI), avec un degré d’invalidité à fonder sur une incapacité de travail de 100 % au long cours telle que retenue par l’experte judiciaire. Supérieur à 70 % (cf. art. 28 al. 2 LAI), tant selon la méthode mixte d’évaluation de l’invalidité applicable jusqu’en juillet 2018 que selon la méthode ordinaire de comparaison des revenus depuis août 2018, le degré d’invalidité de la recourante lui ouvrait en conséquence le droit à une rente entière dès le 1er septembre 2017, contrairement à ce qu’a retenu l’OAI au terme de la décision dont est recours.</w:t>
      </w:r>
    </w:p>
    <w:p>
      <w:r>
        <w:rPr>
          <w:b/>
        </w:rPr>
        <w:t>E. 7</w:t>
      </w:r>
    </w:p>
    <w:p>
      <w:r>
        <w:t>Subsiste la question des frais de l’expertise judiciaire.</w:t>
      </w:r>
    </w:p>
    <w:p>
      <w:r>
        <w:t>- 17 - 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en matière d'assurance-invalidité (cf. ATF 139 V 496 consid. 4.3 ; 139 V 349 consid. 5.4), les frais qui découlent de la mise en œuvre d'une expertise judiciaire peuvent le cas échéant être mis à la charge de l'assurance- 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 sur l'ensemble de la question, cf. aussi ERIK FURRER, Rechtliche und praktische Aspekte auf dem Weg zum Gerichtsgutachten in der Invalidenversicherung, RSAS 2019, p. 14). b) En l’occurrence, la Cour de céans s’est vue contrainte de mettre en œuvre une expertise judiciaire auprès de la Dre V.________ en raison des incertitudes liées aux avis médicaux contradictoires versés au</w:t>
      </w:r>
    </w:p>
    <w:p>
      <w:r>
        <w:t>- 18 - dossier et que l’autorité se devait de lever. Dans ces conditions, il se justifie de mettre à la charge de l’office intimé la totalité des frais qui ont été nécessaires à la mise en œuvre de l’expertise judiciaire, soit un montant de 11’000 fr. conformément à la note d’honoraires de la Dre V.________ du 25 novembre 2024.</w:t>
      </w:r>
    </w:p>
    <w:p>
      <w:r>
        <w:rPr>
          <w:b/>
        </w:rPr>
        <w:t>E. 8</w:t>
      </w:r>
    </w:p>
    <w:p>
      <w:r>
        <w:t>En définitive, bien fondé, le recours doit être admis et la décision attaquée réformée en ce sens que la recourante est mise au bénéfice d’une rente entière d’invalidité à compter du 1er septembre 2017, sans limitation dans le temps.</w:t>
      </w:r>
    </w:p>
    <w:p>
      <w:r>
        <w:rPr>
          <w:b/>
        </w:rPr>
        <w:t>E. 9</w:t>
      </w:r>
    </w:p>
    <w:p>
      <w:r>
        <w:t>a) La procédure de recours en matière de contestations portant sur des prestations de l’assurance-invalidité est soumise à des frais de justice (art. 69 al. 1bis LAI). Il convient de les fixer à 600 fr. et de les mettre à la charge de l’office intimé, vu l’issue du litige. b) La recourante obtient gain de cause et a droit à une indemnité de dépens à titre de participation aux honoraires de son conseil à la charge de l’intimé (art. 61 let. g LPGA ; art. 10 et 11 TFJDA [tarif du 28 avril 2015 des frais judiciaires et des dépens en matière administrative ; BLV 173.36.5.1]). Compte tenu de la complexité du litige ayant nécessité la mise en œuvre d’une expertise judiciaire, il convient de l’arrêter à 5’000 francs. c) La recourante est au bénéfice de l’assistance judiciaire et l’indemnité de dépens allouée ci-avant couvre la rémunération à laquelle le conseil d’office peut raisonnablement prétendre au regard des opérations conduites.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