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ZD22.021059 vom 10. April 2024</w:t>
      </w:r>
    </w:p>
    <w:p>
      <w:r>
        <w:t>VD Tribunal cantonal, 2024-04-10, FR</w:t>
      </w:r>
    </w:p>
    <w:p>
      <w:r>
        <w:rPr>
          <w:b/>
        </w:rPr>
        <w:t xml:space="preserve">Quelle: </w:t>
      </w:r>
      <w:r>
        <w:t>https://mcp.opencaselaw.ch/entscheid/vd_gerichte_ZD22.021059</w:t>
      </w:r>
    </w:p>
    <w:p>
      <w:r>
        <w:t>FR: VD_GERICHTE ZD22.021059 du 10 avril 2024</w:t>
      </w:r>
    </w:p>
    <w:p>
      <w:r>
        <w:t>IT: VD_GERICHTE ZD22.021059 del 10 aprile 2024</w:t>
      </w:r>
    </w:p>
    <w:p>
      <w:pPr>
        <w:pStyle w:val="Heading2"/>
      </w:pPr>
      <w:r>
        <w:t>Erwägungen</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 Pour évaluer le degré d'invalidité, il existe principalement trois méthodes – la méthode générale de comparaison des revenus, la méthode spécifique et la méthode mixte – dont l'application dépend du statut du bénéficiaire potentiel de la rente : assuré exerçant une activité</w:t>
      </w:r>
    </w:p>
    <w:p>
      <w:r>
        <w:t>- 11 - lucrative à temps complet, assuré non actif, assuré exerçant une activité lucrative à temps partiel. aa) Pour un assuré qui exerçait une activité lucrative à plein temps avant d'être atteint dans sa santé physique, mentale ou psychique, il y a lieu de déterminer l'ampleur de la diminution de ses possibilités de gain, en comparant le revenu qu'il aurait pu obtenir s'il n'était pas invalide avec celui qu'il pourrait obtenir en exerçant l'activité qui peut raisonnablement être exigée de lui après les traitements et les mesures de réadaptation, sur un marché du travail équilibré ; c'est la méthode générale de comparaison des revenus (art. 28a al. 1 LAI, dans sa teneur en vigueur jusqu’au 31 décembre 2021, en corrélation avec l'art. 16 LPGA) et ses sous-variantes, la méthode de comparaison en pour-cent (ATF 114 V 310 consid. 3a et les références citées) et la méthode extraordinaire de comparaison des revenus (ATF 128 V 29 ; voir également TF 9C_236/2009 du 7 octobre 2009 consid. 3 et 4, in : SVR 2010 IV n° 11 p. 35). bb) Pour un assuré qui n'exerçait pas d'activité lucrative avant d'être atteint dans sa santé physique, mentale ou psychique et dont il ne peut être exigé qu'il en exerce une, il y a lieu d'effectuer une comparaison des activités, en cherchant à établir dans quelle mesure il est empêché d'accomplir ses travaux habituels ; c'est la méthode spécifique d'évaluation de l'invalidité (art. 28a al. 2 LAI, dans sa teneur en vigueur jusqu’au 31 décembre 2021, en corrélation avec l’art. 8 al. 3 LPGA). Par travaux habituels, il faut notamment entendre l'activité usuelle dans le ménage, ainsi que les soins et l’assistance apportés aux proches (art. 27 al. 1 RAI ; cf. Margit Moser-Szeless, in Dupont/Moser-Szeless [édit.], Loi sur la partie générale des assurances sociales, Commentaire romand, Bâle 2018, n° 52 ad art. 16 LPGA). cc) Pour un assuré qui n'exerçait que partiellement une activité lucrative, l'invalidité est, pour cette part, évaluée selon la méthode générale de comparaison des revenus. S'il se consacrait en outre à ses travaux habituels au sens des art. 8 al. 3 LPGA et 28a al. 2 LAI (dans sa teneur en vigueur jusqu’au 31 décembre 2021), l'invalidité est fixée, pour</w:t>
      </w:r>
    </w:p>
    <w:p>
      <w:r>
        <w:t>- 12 -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 c'est la méthode mixte d'évaluation de l'invalidité (art. 28a al. 3 LAI, dans sa teneur en vigueur jusqu’au 31 décembre 2021, en corrélation avec l'art. 27bis RAI, dans sa teneur en vigueur jusqu’au 31 décembre 2021 ; voir par ailleurs ATF 131 V 51 consid. 5.1.2). d) Pour déterminer la méthode applicable au cas particulier, il faut à chaque fois se demander ce que l'assuré aurait fait si l'atteinte à la santé n'était pas survenue. Lorsqu'il accomplit ses travaux habituels, il convient d'examiner, à la lumière de sa situation personnelle, familiale, sociale et professionnelle, s'il aurait consacré, étant valide, l'essentiel de son activité à son ménage ou s'il aurait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3.2 et les références citées). e) En l’espèce, l’intimé a fait application de la méthode ordinaire de comparaison des revenus. Dans la mesure où le recourant avait indiqué qu’il travaillerait à 60 % s’il n’était pas atteint dans sa santé et qu’il consacrerait les 40 % restants à ses enfants et à la tenue du ménage, on pourrait toutefois légitimement envisager l’application de la méthode mixte. Cela étant, compte tenu de la situation personnelle du recourant (père divorcé d’enfants scolarisés, avec lesquels il ne fait pas</w:t>
      </w:r>
    </w:p>
    <w:p>
      <w:r>
        <w:t>- 13 - ménage commun en permanence, et touchant le revenu d’insertion), on peut se rallier à l’appréciation de l’intimé, en ce qu’il a retenu un statut d’actif, au demeurant favorable au recourant. Même si la méthode mixte avait dû être appliquée in casu, elle ne modifierait pas le résultat du recours. En effet, le recourant a informé l’expert psychiatre qu’il faisait le ménage, les sanitaires, la cuisine, la lessive et les courses. L’expert orthopédique a par ailleurs expressément indiqué que le recourant était capable de s’occuper de l’alimentation, d’entretenir son logement (par petite période), d’effectuer les achats (à l’exception des charges lourdes excédant 10 kilos), de faire la lessive et d’apporter les soins aux enfants et autres membres de la famille. En outre, si le recourant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citées ; TF 9C_568/2017 du 11 janvier 2018 consid. 5.4). Ainsi, l’empêchement du recourant dans l’entretien de son ménage dû à son invalidité n’aurait dans tous les cas pas pu être suffisamment importante pour que l’application de la méthode mixte aboutisse à un degré d’invalidité suffisant pour ouvrir le droit à une rente.</w:t>
      </w:r>
    </w:p>
    <w:p>
      <w:r>
        <w:rPr>
          <w:b/>
        </w:rPr>
        <w:t>E. 4.1</w:t>
      </w:r>
    </w:p>
    <w:p>
      <w:r>
        <w:t>; TF 9C_501/2009 du 12 mai 2010 consid. 5.2). Il doit être évalué de la manière la plus concrète possible ; c’est pourquoi il se déduit en principe du revenu réalisé en dernier lieu par l’assuré avant l’atteinte à la santé, en tenant compte de l’évolution des salaires jusqu’au moment de la naissance du droit à la rente (ATF 129 V 222 consid. 4.3.1). c) Lorsque le revenu sans invalidité ne peut pas être déterminé en fonction de l’activité lucrative habituelle exercée avant l’atteinte à la santé, il convient de recourir à des données statistiques en se demandant quelle activité la personne assurée aurait effectuée si elle était restée en bonne santé. On se référera en règle générale à l’Enquête suisse sur la structure des salaires (ESS) publiée tous les deux ans par l’Office fédéral de la statistique. On procédera de même pour l’établissement du revenu avec invalidité lorsque la personne assurée n’a pas repris d’activité lucrative dans une profession adaptée, ou lorsque son activité ne met pas pleinement en valeur sa capacité de travail résiduelle, contrairement à ce qui serait raisonnablement exigible (ATF 126 V 75 ;</w:t>
      </w:r>
    </w:p>
    <w:p>
      <w:r>
        <w:t>- 17 - Margit Moser-Szeless, in Dupont/Moser-Szeless [édit.], Loi sur la partie générale des assurances sociales, Commentaire romand, Bâle 2018, n° 25 et n° 33 ad art. 16). d)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e)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(TF 8C_407/2018 du 3 juin 2019 consid. 5.2 ; TF 9C_633/2016 du 28 décembre 2016 consid. 4.2).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 9C_326/2018 du 5 octobre 2018 consid. 6.2 ; TF 9C_286/2015 du 12 janvier 2016 consid. 4.2). S'il est vrai que des facteurs tels que l'âge, le manque de formation ou les difficultés linguistiques jouent un rôle non négligeable pour déterminer dans un cas concret les activités que l'on peut encore</w:t>
      </w:r>
    </w:p>
    <w:p>
      <w:r>
        <w:t>- 18 -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 9C_774/2016 du 30 juin 2017 consid. 5.2 ; 9C_716/2014 du 19 février 2015 consid. 4.1 et 9C_1043/2008 du 2 juillet 2009 consid. 3.2). Cela dit,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(TF 9C_695/2010 du 15 mars 2011 consid. 5 et les références). Selon la jurisprudence, le moment où la question de la mise en valeur de la capacité (résiduelle) de travail pour un assuré proche de l’âge de la retraite sur le marché de l’emploi doit être examinée correspond au moment auquel il a été constaté que l’exercice (partiel) d’une activité lucrative était médicalement exigible, soit dès que les documents médicaux permettent d’établir de manière fiable les faits y relatifs (ATF 138 V 457 consid. 3.3 ; TF 9C_716/2014 du 19 février 2015 consid. 4.2). Il est par ailleurs admis que le seuil à partir duquel on peut parler d’âge avancé se situe autour de 60 ans, même si le Tribunal fédéral n’a pas fixé d’âge limite jusqu’à présent (ATF 138 V 457 consid. 3.1 ; TF 9C_612/2007 du 14 juillet 2008 consid. 5.2).</w:t>
      </w:r>
    </w:p>
    <w:p>
      <w:r>
        <w:t>- 19 - f) En l’espèce, pour déterminer le degré d’invalidité, l’intimé s’est fondé sur les statistiques de l’ESS 2018 (TA1_skill_level, homme, niveau de compétence 1), aussi bien pour le revenu sans invalidité (68'952 fr. 58) que celui avec invalidité (55'138 fr. 87 [68'952 fr. 58 - 20 %]. Il a ainsi retenu un taux d’invalidité de 20 %, ce qui l’a conduit à refuser au recourant le droit à une rente d’invalidité. Il a estimé qu’un abattement supplémentaire sur le revenu avec invalidité ne se justifiait pas. De son côté, le recourant reproche à l’intimé de ne pas avoir pris suffisamment en compte ses limitations fonctionnelles, son âge et son manque d’expérience dans l’évaluation de sa capacité de travail et considère qu’un abattement supplémentaire aurait dû être opéré sur son revenu d’invalide théorique à ce titre. Cela étant, il y a lieu tout d’abord de rappeler, s’agissant des limitations fonctionnelles, que la jurisprudence considère que lorsque la personne concernée est capable de travailler, mais avec une diminution de rendement, celle-ci est prise en compte dans la fixation de la capacité de travail, de sorte qu'en principe, il n'y a pas lieu d'effectuer en sus un abattement en raison des limitations fonctionnelles à l'origine de la diminution de rendement (TF 8C_122/2019 du 10 septembre 2019 consid. 4.3.1.2 et les références citées). Or, quoi qu’en dise le recourant, les experts ont déjà tenu compte d’une diminution de rendement de 20 % dues aux limitations fonctionnelles. Aucun élément au dossier ne justifie d’accorder un abattement supplémentaire à ce titre, ce d’autant plus que l’intimé a déterminé le revenu d’invalide en référence au salaire statistique auquel peuvent prétendre les hommes effectuant des activités simples et répétitives. Partant, il convient de retenir que les limitations fonctionnelles du recourant ne l’empêchent pas de travailler à un taux d’activité de 100 %, avec une baisse de rendement de 20 %, tant dans son activité habituelle que dans une activité adaptée respectant ses limitations fonctionnelles. L’argument du recourant selon lequel il serait irréaliste qu’il retrouve un emploi vu son âge et son manque d’expérience doit être rejeté. La notion de marché équilibré du travail est une notion théorique et</w:t>
      </w:r>
    </w:p>
    <w:p>
      <w:r>
        <w:t>- 20 - abstraite qui sert de critère de distinction entre les cas tombant sous le coup de l’assurance-chômage et ceux qui relèvent de l’assurance- invalidité. Elle implique, d’une part, un certain équilibre entre l’offre et la demande de main d’œuvre et, d’autre part, un marché du travail structuré de telle sorte qu’il offre un éventail d’emplois diversifiés, tant au regard des exigences professionnelles et intellectuelles qu’au niveau des sollicitations physiques (ATF 134 V 64 consid. 4.2.1 ; 110 V 273 consid. 4b). Il ne s’agit ainsi pas d’apprécier si un employeur est effectivement disposé à confier un travail au recourant, mais uniquement d’apprécier si, compte tenu de son état de santé, ce dernier est à même d’exercer une activité déterminée (Michel Valterio, Commentaire de la Loi fédérale sur l’assurance-invalidité [LAI], Genève/Zurich/Bâle 2018, n° 65 ad art. 28a LAI). Or on rappelle que les experts ont observé que l’activité habituelle du recourant était adaptée aux limitations fonctionnelles de sorte que son manque d’expérience ne peut être invoqué. En outre, même en considérant l’exercice d’autres activités, le salaire statistique appliqué dans le cas présent correspond à des tâches légères et recouvre un large éventail d’activités adaptées aux compétences du recourant et à ses limitations fonctionnelles. L’absence d'expérience ne joue pas de rôle lorsque le revenu d'invalide est déterminé, comme en l’espèce, en référence à une catégorie d'emplois ne nécessitant ni formation ni expérience professionnelle spécifique (TF 8C_122/2019 précité consid. 4.3.2 et la référence citée). De plus, comme le relève l’intimé, le recourant souhaite avant tout poursuivre une activité de compositeur- musicien indépendant et n’a jamais été dans une démarche dynamique de recherche d’emploi, raisons pour lesquelles l’intimé ne lui a d’ailleurs pas proposé d’aide au placement et lui a refusé le droit à des mesures professionnelles. Ainsi, ce sont davantage les souhaits personnels du recourant qui sont susceptibles de compliquer sa réinsertion sur le marché primaire de l’emploi. S’agissant de l’absence prolongée du marché du travail, la notion de marché du travail équilibré est un concept théorique et abstrait, de sorte qu’une longue absence du marché du travail n’est pas relevante (ATF 134 V 64 consid. 4.2.1 ; 110 V 273 consid. 4b). La longue absence ou éloignement du marché du travail ne constitue en effet pas un</w:t>
      </w:r>
    </w:p>
    <w:p>
      <w:r>
        <w:t>- 21 - facteur déterminant pour l’abattement (ATF 126 V 75 consid. 5b/aa ; TF 9C_892/2012 du 30 avril 2013 consid. 5.4). En outre, l’âge n’a en principe pas d’incidence sur le revenu en cas d’application du niveau de compétence 1 de l’ESS (TF 9C_284/2018 du 17 juillet 2018 consid. 2.2.3). Ainsi, il n’y a pas de motif à déduire un abattement au revenu avec invalidité calculé par l’intimé. Enfin, s’agissant de l’exigibilité de la reprise d’une activité compte tenu de l’âge du recourant, il convient d’observer que la jurisprudence rendue en lien avec les assurés proches de l’âge de la retraite s’applique usuellement lorsqu’une exigibilité a été déterminée dans une nouvelle activité professionnelle adaptée, non pas dans l’exercice de l’activité habituelle (cf. par exemple : TF 9C_913/2012 du</w:t>
      </w:r>
    </w:p>
    <w:p>
      <w:r>
        <w:rPr>
          <w:b/>
        </w:rPr>
        <w:t>E. 5</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w:t>
      </w:r>
    </w:p>
    <w:p>
      <w:r>
        <w:t>- 14 -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w:t>
      </w:r>
    </w:p>
    <w:p>
      <w:r>
        <w:rPr>
          <w:b/>
        </w:rPr>
        <w:t>E. 6</w:t>
      </w:r>
    </w:p>
    <w:p>
      <w:r>
        <w:t>En l’espèce, l’intimé s’est fondé sur l’expertise bi-disciplinaire du 16 juillet 2021 des Drs H.________ et Q.________, lesquels ont considéré que le recourant disposait d’une capacité de travail entière, tant dans son activité de compositeur-musicien que dans une activité adaptée, avec toutefois une diminution de rendement de 20 % afin de tenir compte de plages de repos plus importantes qu’habituellement. Or, à l’instar de l’intimé, il y a lieu d’accorder une pleine valeur probante à ladite expertise. Le tribunal constate que les experts ont rendu leur rapport sur la base d’une anamnèse détaillée et complète, en tenant compte de l’ensemble de la documentation médicale au dossier, des plaintes du recourant, de ses antécédents, du déroulement de sa journée type et de ses traitements. Chacun des experts a procédé à un examen clinique détaillé et rencontré personnellement le recourant. Leurs conclusions, établies de manière consensuelle sur la base d’une description claire du contexte médical, sont dûment motivées, claires et exemptes de contradiction. Sur le plan orthopédique, l’expert a relevé que</w:t>
      </w:r>
    </w:p>
    <w:p>
      <w:r>
        <w:t>- 15 - la symptomatologie algique n’était corroborée, ni par son examen clinique, ni par des atteintes dégénératives significatives. Sur le plan psychiatrique, l’experte a évalué la capacité de travail au regard du catalogue d’indicateurs jurisprudentiels (ATF 141 V 281 consid. 4.3 et 4.4). A cet égard, après avoir exclu plusieurs diagnostics susceptibles d’entrer en ligne de compte, elle n’a constaté aucun trouble psychiatrique suffisamment grave pour être considéré comme incapacitant. Elle a également relevé que le recourant disposait de nombreuses ressources tant sur le plan interne qu’externe (réseau social stable, autonome pour les actes de la vie quotidienne, capacité d’adaptation aux règles, de planification et de structuration des tâches). Les possibilités thérapeutiques n’étaient pas non plus épuisées et l’abstinence totale à l’alcool était conseillée pour améliorer ses performances cognitives et diminuer sa tendance anxieuse. Le recourant conteste les conclusions de l’expertise, invoquant notamment le fait qu’il n’avait pas indiqué aux experts qu’il prenait des antalgiques au moment de l’expertise, lesquels avaient diminué ses douleurs et ainsi tronqué les conclusions de celle-ci. Toutefois, un tel élément n’est pas susceptible de remettre en cause les conclusions des experts, en particulier celles de l’expert orthopédique, prises sur la base d’un examen clinique complet et sur les documents d’imagerie à sa disposition. De plus, cet élément démontre au contraire que la prise d’un antalgique simple de type Dafalgan permet de soulager efficacement ses douleurs ostéoarticulaires, lesquelles ne saurait dès lors être considérées comme à l’origine d’une incapacité de travail durable. Quant au rapport du 11 mars 2022 du Dr P.________, il ne permet pas de jeter le doute sur les conclusions de l’expertise. En effet, force est de constater que l’expert psychiatre a bien tenu compte des manifestations anxieuses, de même que de l’interaction entre les différents diagnostics. Il a ensuite évalué la capacité de travail du recourant à l’aune des indicateurs jurisprudentiels applicables, ce que le Dr P.________ n’a pas fait. En réalité, ce dernier oppose sa propre</w:t>
      </w:r>
    </w:p>
    <w:p>
      <w:r>
        <w:t>- 16 - appréciation à celle de l’expert, sans apporter d’éléments qui auraient été ignorés.</w:t>
      </w:r>
    </w:p>
    <w:p>
      <w:r>
        <w:rPr>
          <w:b/>
        </w:rPr>
        <w:t>E. 7</w:t>
      </w:r>
    </w:p>
    <w:p>
      <w:r>
        <w:t>a) Selon l’art. 16 LPGA,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(ATF 128 V 29 consid. 1). b) Le revenu sans invalidité doit être déterminé en établissant au degré de la vraisemblance prépondérante ce que l’assuré aurait effectivement pu réaliser s’il était en bonne santé (ATF 134 V 322 consid.</w:t>
      </w:r>
    </w:p>
    <w:p>
      <w:r>
        <w:rPr>
          <w:b/>
        </w:rPr>
        <w:t>E. 9</w:t>
      </w:r>
    </w:p>
    <w:p>
      <w:r>
        <w:t>avril 2013 consid. 5.3 et 5.4 ; cf. également : Michel Valterio, Commentaire de la Loi fédérale sur l’assurance-invalidité [LAI], Genève/Zurich/Bâle 2018, n° 69 ss ad art. 28a LAI, p. 435 ss : casuistique). Or le recourant ne remet pas sérieusement en question l’adéquation de son activité habituelle, sédentaire et légère, avec son état de santé, dont les experts ont retenu l’exigibilité au taux de 100 % avec une baisse de rendement de 20 %. Il ne s’agit donc pas de déterminer s’il a des chances de retrouver un emploi adapté à son handicap, puisqu’il bénéficie d’une capacité de travail entière adaptée dans son activité habituelle. Dès lors, il n’y a pas lieu d’examiner son cas à l’aune de la jurisprudence relative aux assurés proches de l’âge de la retraite. 8. a) En définitive, le recours doit être rejeté et la décision entreprise confirmée. b) Compte tenu de la situation financière précaire du recourant (cf. attestation du 24 mai 2022 du Service social de [...]), il convient de donner une suite favorable à sa conclusion tendant à l’octroi</w:t>
      </w:r>
    </w:p>
    <w:p>
      <w:r>
        <w:t>- 22 - de l’assistance judiciaire, laquelle porte exclusivement sur l’exonération des frais judiciaires. c) La procédure de recours en matière de contestations portant sur des prestations de l’assurance-invalidité est soumise à des frais de justice (art. 69 al. 1bis LAI). En l’espèce, les frais judiciaires, arrêtés à 600 fr., sont imputés au recourant qui succombe. Ils sont toutefois provisoirement laissés à la charge de l’Etat, puisque le recourant bénéficie de l’assistance judiciaire. d) Il n’y a pas lieu d’allouer de dépens à la partie recourante, qui n’obtient pas gain de cause et a procédé sans mandataire qualifié (art. 61 let. g LPGA ; ATF 127 V 205 consid. 4b). e) Le recourant est toutefois rendu attentif au fait qu’il devra rembourser les frais judiciaires provisoirement pris en charge par l’Etat dès qu’il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 [règlement cantonal vaudois du 7 décembre 2010 sur l’assistance judiciaire en matière civile ; BLV 211.02.3]).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