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ZD22.021056 vom 14. Januar 2025</w:t>
      </w:r>
    </w:p>
    <w:p>
      <w:r>
        <w:t>VD Tribunal cantonal, 2025-01-14, FR</w:t>
      </w:r>
    </w:p>
    <w:p>
      <w:r>
        <w:rPr>
          <w:b/>
        </w:rPr>
        <w:t xml:space="preserve">Quelle: </w:t>
      </w:r>
      <w:r>
        <w:t>https://mcp.opencaselaw.ch/entscheid/vd_gerichte_ZD22.021056</w:t>
      </w:r>
    </w:p>
    <w:p>
      <w:r>
        <w:t>FR: VD_GERICHTE ZD22.021056 du 14 janvier 2025</w:t>
      </w:r>
    </w:p>
    <w:p>
      <w:r>
        <w:t>IT: VD_GERICHTE ZD22.021056 del 14 gennaio 2025</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w:t>
      </w:r>
    </w:p>
    <w:p>
      <w:r>
        <w:t>- 17 - valoir son droit aux prestations conformément à l’art. 29 al. 1 LPGA, mais pas avant le mois qui suit le 18ème anniversaire de l’assuré (art. 29 al. 1 LAI).</w:t>
      </w:r>
    </w:p>
    <w:p>
      <w:r>
        <w:rPr>
          <w:b/>
        </w:rPr>
        <w:t>E. 5</w:t>
      </w:r>
    </w:p>
    <w:p>
      <w:r>
        <w:t>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w:t>
      </w:r>
    </w:p>
    <w:p>
      <w:r>
        <w:rPr>
          <w:b/>
        </w:rPr>
        <w:t>E. 5.1</w:t>
      </w:r>
    </w:p>
    <w:p>
      <w:r>
        <w:t>;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6</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- 18 -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w:t>
      </w:r>
    </w:p>
    <w:p>
      <w:r>
        <w:rPr>
          <w:b/>
        </w:rPr>
        <w:t>E. 7</w:t>
      </w:r>
    </w:p>
    <w:p>
      <w:r>
        <w:t>Le recourant conteste les constatations de l'intimé quant au retentissement de la quasi plégie de son membre supérieur gauche sur sa capacité de travail dans son activité habituelle, lesquelles sont fondées sur les conclusions du rapport d’expertise rhumatologique établi le 19 septembre 2021 par la Dre E.________.</w:t>
      </w:r>
    </w:p>
    <w:p>
      <w:r>
        <w:t>- 19 -</w:t>
      </w:r>
    </w:p>
    <w:p>
      <w:r>
        <w:rPr>
          <w:b/>
        </w:rPr>
        <w:t>E. 7.1</w:t>
      </w:r>
    </w:p>
    <w:p>
      <w:r>
        <w:t>a) A titre liminaire, il convient d'examiner si l'intimé a violé le droit fédéral lorsqu'il a considéré que le rapport d'expertise précité pouvait se voir attribuer une pleine valeur probante. b) En l'occurrence, la Dre E.________ a rencontré personnellement le recourant à l'occasion d'un examen expertal conduit sur une matinée (rapport d’expertise rhumatologique du 19 septembre 2021 de la Dre E.________, ch. 1.1). Elle a recueilli auprès du recourant les éléments anamnestiques utiles à l'établissement de son rapport, la description de sa journée-type ainsi que ses plaintes subjectives (op. cit., ch. 3), avant d'opérer les constatations cliniques ressortant tout particulièrement à sa spécialité (op. cit., ch. 4). Ses conclusions se fondent ainsi sur un examen complet du dossier, y compris sur celui du dossier d'imagerie, les données d'une anamnèse complète et les constats objectifs de son examen clinique, en plus de tenir dûment compte des plaintes subjectives du recourant. L'experte a exposé quels diagnostics elle retenait (op. cit., ch. 6). Elle a évalué la cohérence et la plausibilité des plaintes du recourant (op. cit., ch. 7.3) et apprécié ses capacités, ressources et difficultés (op. cit., ch. 7.4). S'agissant plus particulièrement du retentissement des atteintes à la santé précitées sur les capacités fonctionnelles du recourant, il ressort notamment des constatations de l'experte que le recourant n’a plus du tout de suivi médical depuis fort longtemps (cf. op. cit., ch. 7.1, spéc. p. 32), qu’il ne prend aucun médicament depuis 15 ans (op. cit., ch. 3.2, spéc. p. 23 s.), qu’il arrive à réaliser lui-même toutes les tâches ménagères à son domicile, et ce plusieurs fois par semaine (cf. op. cit., ch. 3.2 et 7.2), qu’il pratique plusieurs sports à titre de hobbies (op. cit., ch. 3.2, spéc. p. 20), qu'il aime s'occuper de plantes d'intérieur (loc. cit.) et qu’il cuisine des heures durant (op. cit., ch. 3.2, spéc. p. 24). Au moment d'apprécier le taux de la capacité de travail du recourant, la Dre E.________ retient cependant qu’une journée de travail à 100 % est trop fatigante pour le recourant – lequel travaillait, au jour de</w:t>
      </w:r>
    </w:p>
    <w:p>
      <w:r>
        <w:t>- 20 - l'examen expertal, à 100 % le vendredi, mais devait alors ensuite détendre son bras toute la matinée du samedi –, raison pour laquelle elle conclut à une activité à 80 % répartie sur toute la semaine. Contrairement à ce que soutient le recourant, on ne discerne aucune incohérence dans la détermination par l'experte du taux de sa capacité de travail. L'allégation du recourant selon laquelle une journée de travail de 6 heures requerrait également qu'il se repose toute la matinée du lendemain (comp. recours du 24 mai 2022, ch. 4) n'est étayée par aucune constatation objective au dossier. De plus, le recourant ne prétend pas qu'il occuperait une large partie de sa semaine à la récupération ; il résulte plutôt de ses déclarations à l'experte qu'il pratique de nombreuses activités sportives et domestiques. Au moment de rapporter à l'experte qu'une partie de son activité consistait à accompagner des camps de ski, le recourant n'a au reste pas déclaré qu'il bénéficierait en pareil cas d'un horaire aménagé pour lui permettre une quelconque récupération, seules ses limitations liées au port de charge étant relevées (cf. op. cit., ch. 7.2). Quant à l'allégation du fait que seules des activités journalières d'environ 1 h 30 à 2 heures par jour n'auraient aucune conséquence sur sa santé, le recourant ayant précisé qu'il ressentait des douleurs au niveau de l'épaule gauche si son bras gauche était trop longtemps en position déclive et qu'il était alors nécessaire qu'il masse les muscles de son avant-bras, le triceps et les trapèzes du côté gauche en fin de journée (cf. op. cit., ch. 7.2, spéc. p. 34), elle apparait contredite par ses déclarations à l'experte selon lesquelles il apprécie tout particulièrement de cuisinier deux à trois heures d'affilée, le soir notamment, y compris après le travail (cf. op. cit., ch. 3.2, spéc. p. 24), étant par ailleurs rappelée l'absence de toute prise de traitement médicamenteux, y compris antalgique (cf. op. cit., ch. 3.2, spéc. p. 23 s.). Au demeurant, l'experte souligne que les plaintes spontanées du recourant concernent avant tout sa situation financière, après que son</w:t>
      </w:r>
    </w:p>
    <w:p>
      <w:r>
        <w:t>- 21 - employeur avait diminué le nombre d'heures de travail qu'il lui avait confiées jusqu'alors, spécialement celles de surveillance, et qu'il était apparu qu'il n'était pas disposé à augmenter les heures de travail confiées au recourant (cf. op. cit., ch. 7.2). c) Les conclusions de la Dre E.________ sont dûment motivées et dénuées de contradiction, si bien que l'intimé n'a pas violé le droit fédéral lorsqu'il a considéré que son rapport d'expertise rhumatologique pouvait se voir attribuer une pleine valeur probante.</w:t>
      </w:r>
    </w:p>
    <w:p>
      <w:r>
        <w:rPr>
          <w:b/>
        </w:rPr>
        <w:t>E. 7.2</w:t>
      </w:r>
    </w:p>
    <w:p>
      <w:r>
        <w:t>a) Il reste à examiner si le recourant établit l'existence d'éléments objectivement vérifiables suffisamment pertinents pour remettre en cause le bien-fondé desdites conclusions, étant souligné qu'il ne conteste pas celles qui ont trait à ses atteintes à la santé, mais seulement celles qui concernent leur retentissement sur sa capacité de travail. b) S'agissant du rapport du 6 août 2019 du Dr Q.________ à l'OAI, celui-ci indique que « le recourant est toujours limité dans sa capacité de travail à un taux d‘activité maximale de 60 %, ceci depuis qu'il a commencé à travailler comme éducateur sportif à l'âge de 20 ans » (cf. rapport 6 août 2019 du Dr Q.________). Il ne motive néanmoins guère ce constat, étant au surplus précisé qu'il n'avait plus suivi l'assuré depuis 2013. b) En ce qui concerne le rapport du 22 octobre 2019 du Dr V.________, celui-ci retient également une capacité de travail dans son activité habituelle limitée à 60 %, correspondant alors au taux de travail du recourant, ainsi qu'une capacité de travail dans une activité adaptée à 60 % principalement au motif qu'il « n'a pas l'usage de son bras gauche » et qu'« [a]insi même une activité de bureau ou de manutention serait impossible à réaliser », ajoutant seulement qu'il fallait « aussi mentionner la surutilisation du bras [droit] pouvant entraîner fatigue et douleurs » (cf. rapport du 22 octobre 2019 du Dr V.________, ch. 3), étant au</w:t>
      </w:r>
    </w:p>
    <w:p>
      <w:r>
        <w:t>- 22 - demeurant souligné que ces éléments étaient, à l'évidence, connus de l'experte. c) La motivation des constatations de ces médecins traitants au sujet de la capacité de travail du recourant n'est dès lors pas suffisante à remettre sérieusement en doute les conclusions de la Dre E.________, lesquelles sont par ailleurs largement corroborées par celles du Dr C.________, lequel avait conclu – avant que le recourant ne prenne un quelconque emploi – à une capacité de travail pleine dans une activité adaptée à ses limitations fonctionnelles (comp. rapport d'expertise médicale du 13 février 2007 du Dr C.________, § A ch. 5 et § B ch. 2). d) Les avis des médecins traitants précités ne sauraient remettre en cause les conclusions de la Dre E.________.</w:t>
      </w:r>
    </w:p>
    <w:p>
      <w:r>
        <w:rPr>
          <w:b/>
        </w:rPr>
        <w:t>E. 7.3</w:t>
      </w:r>
    </w:p>
    <w:p>
      <w:r>
        <w:t>Pour le surplus, quoi qu’en dise le recourant, la Dre E.________ a tenu dûment compte des douleurs neurologiques résiduelles ressenties dans son bras gauche, lesquelles sont au demeurant moins fréquentes qu’en 2007, lorsqu'elle a retenu une incapacité de travail de 20 % dans son activité habituelle « en raison de la surcharge du membre supérieur droit générant des douleurs à la fois de l'épaule droite, du thorax à droite et la nécessité de supporter la déclivité du membre supérieur gauche générant des douleurs de l'épaule gauche » (rapport d'expertise du 19 septembre 2021 de la Dre E.________, ch. 8.1 s.). Dans ces circonstances, on ne voit pas ce qu’amènerait de plus l’expertise neurologique sollicitée par le recourant, lequel ne l’expose d’ailleurs pas, se contentant d’alléguer une situation médicale complexe (cf. également infra consid. 11).</w:t>
      </w:r>
    </w:p>
    <w:p>
      <w:r>
        <w:rPr>
          <w:b/>
        </w:rPr>
        <w:t>E. 7.4</w:t>
      </w:r>
    </w:p>
    <w:p>
      <w:r>
        <w:t>En définitive, aucune constatation médicale probante et concrète ne permet de remettre en cause la pleine valeur probante du rapport d'expertise rhumatologique du 19 septembre 2021 de la Dre E.________.</w:t>
      </w:r>
    </w:p>
    <w:p>
      <w:r>
        <w:t>- 23 -</w:t>
      </w:r>
    </w:p>
    <w:p>
      <w:r>
        <w:rPr>
          <w:b/>
        </w:rPr>
        <w:t>E. 7.5</w:t>
      </w:r>
    </w:p>
    <w:p>
      <w:r>
        <w:t>En d'autres termes, il ne peut être reproché à l'intimé d'avoir statué sur la demande de prestations de l'AI du 4 janvier 2019 du recourant en tenant compte d'une capacité de travail de 80 % dans son activité habituelle.</w:t>
      </w:r>
    </w:p>
    <w:p>
      <w:r>
        <w:rPr>
          <w:b/>
        </w:rPr>
        <w:t>E. 8</w:t>
      </w:r>
    </w:p>
    <w:p>
      <w:r>
        <w:t>Le recourant conteste également le calcul de son préjudice économique. D'une part, il soutient que le revenu sans invalidité déterminant ne serait pas celui de la branche de l'enseignement selon la TA1, ligne 85 niveau de compétence 2, comme l'a retenu l'intimé, mais celui de cette même branche selon la TA1, ligne 85 niveau de compétence 4. Il estime en effet avoir été empêché, à cause des atteintes à sa santé, de suivre une formation reconnue qui lui aurait permis d'être engagé comme enseignant à l'université ou au gymnase. D'autre part, il estime que le revenu d'invalide déterminant devrait être soit celui de la branche de l'enseignement selon la TA1, ligne 85 niveau de compétence 1, soit celui retenu par l'intimé, mais sous déduction d'un abattement de 10 %, pour tenir compte des tâches administratives qu'il ne pourrait pas effectuer en raison de la plégie quasi-complète de son membre supérieur gauche.</w:t>
      </w:r>
    </w:p>
    <w:p>
      <w:r>
        <w:rPr>
          <w:b/>
        </w:rPr>
        <w:t>E. 8.1</w:t>
      </w:r>
    </w:p>
    <w:p>
      <w:r>
        <w:t>a) Selon la jurisprudence, 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(ci-après : ESS) (ATF 148 V 419 consid. 5.2 et les arrêts cités). Dans ce cas, il convient de se fonder, en règle générale, sur les salaires mensuels indiqués dans la table TA1 (secteur privé), à la ligne « total » (ATF 148 V 174 consid. 6.2 et les arrêts cités). Toutefois, lorsque cela apparaît indiqué dans un cas concret pour permettre à l'assuré de mettre pleinement à profit sa capacité résiduelle de travail, il y a lieu parfois de se référer aux salaires mensuels de secteurs particuliers (secteur 2 [production] ou 3 [services]),</w:t>
      </w:r>
    </w:p>
    <w:p>
      <w:r>
        <w:t>- 24 - voire à des branches particulières (TF 8C_294/2023 du 24 avril 2024 consid. 4.1.1 et les arrêts cités). b) Depuis la dixième édition de l'ESS (ESS 2012), les emplois sont classés par l'Office fédéral de la statistique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(cf. tableau T17 de l'ESS 2012 p. 44) et du type de travail, de la formation nécessaire à la pratique de la profession et de l'expérience professionnelle (cf. tableau TA1_skill_level de l'ESS 2012 ; ATF 142 V 178 consid. 2.5.3). Le niveau 1 est le plus bas et correspond aux tâches physiques et manuelles simples, tandis que le niveau 4 est le plus élevé.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L'accent est donc mis sur le type de tâches que l'assuré est susceptible d'assumer en fonction de ses qualifications mais pas sur les qualifications en elles- mêmes. Selon la jurisprudence, l'application du niveau 2 se justifie uniquement si la personne assurée dispose de compétences ou de connaissances particulières (TF 8C_294/2023 du 24 avril 2024 consid. 4.1.1 et les arrêts cités).</w:t>
      </w:r>
    </w:p>
    <w:p>
      <w:r>
        <w:rPr>
          <w:b/>
        </w:rPr>
        <w:t>E. 8.2</w:t>
      </w:r>
    </w:p>
    <w:p>
      <w:r>
        <w:t>A titre liminaire, il convient de constater que c'est à juste titre que l'intimé a estimé, à tout le moins implicitement, que le recourant serait actif à 100 %, sans atteinte à la santé.</w:t>
      </w:r>
    </w:p>
    <w:p>
      <w:r>
        <w:rPr>
          <w:b/>
        </w:rPr>
        <w:t>E. 8.3</w:t>
      </w:r>
    </w:p>
    <w:p>
      <w:r>
        <w:t>En ce qui concerne le revenu sans invalidité, il ne ressort pas du dossier de l'intimé, auquel se réfère le recourant, qu’avant son atteinte à la santé, l'intéressé avait comme projet d’occuper un poste d'enseignant</w:t>
      </w:r>
    </w:p>
    <w:p>
      <w:r>
        <w:t>- 25 - à l'université ou au gymnase. Certes, on ne dispose d'aucune donnée quant aux projets du recourant avant la survenance de l'accident de la circulation sur la voie publique du [...], alors qu'il était âgé de 15 ans et terminait sa scolarité obligatoire dans une école [...]. Le 19 juin 2006, il indiquait cependant à l'intimé avoir eu pour objectif celui d'obtenir un Higher National Diploma de la School of Sport and Exercice Science de l'University College of [...], sections Sports and Leisure et Scientific Side of Sport, qui lui aurait permis, selon ses dires de l'époque, d'être enseignant ou gérant d'une salle de sport. Il se disait en outre passionné par le sport et le travail avec les enfants (cf. notes d'entretien du 19 juin 2006 de l'OAI ; cf. également rapport d'expertise du 19 septembre 2021 de la Dre E.________), tandis qu'il déclarait, le 9 février 2007, souhaiter suivre une formation d'enseignant pour des écoles primaires internationales (cf. rapport d'expertise du 13 février 2007 du Dr C.________, ch. 2), raison pour laquelle il s'était inscrit dès octobre 2006 à un cours par correspondance intitulé Supporting learning in Primary schools visant le diplôme de professeur assistant en deux ans et professeur en quatre ans au niveau primaire dans le secteur privé (cf. rapport final du 21 août 2007 de l'OAI). Ainsi, il avait choisi d'emblée une orientation dans l'enseignement du sport à l'école primaire privée, sans que ce choix de cursus de formation ne soit en lien avec son atteinte à la santé (cf. ibidem). En conséquence, on ne saurait retenir, sous l’angle de la vraisemblance prépondérante, que le recourant occuperait aujourd’hui une fonction d'enseignant au gymnase ou à l'université s'il n'avait pas été victime de l'accident susmentionné. Lorsqu'il a retenu pour revenu sans invalidité déterminant celui de la branche de l'enseignement selon la TA1, ligne 85, niveau de compétence 2, l'intimé n'a donc pas violé le droit fédéral ; il convient de confirmer le revenu statistique annuel retenu par l'intimé, arrêté à 74'284 fr. en 2019 (cf. rapport final du 11 novembre 2021 de l'OAI).</w:t>
      </w:r>
    </w:p>
    <w:p>
      <w:r>
        <w:rPr>
          <w:b/>
        </w:rPr>
        <w:t>E. 8.4</w:t>
      </w:r>
    </w:p>
    <w:p>
      <w:r>
        <w:t>a) S’agissant du revenu avec invalidité, le recourant ne conteste pas le recours, dans son principe, aux salaires statistiques de l'ESS relatifs à la branche de l'enseignement dans le secteur privé. Dès lors que le recourant est désormais au bénéfice d'un certificat</w:t>
      </w:r>
    </w:p>
    <w:p>
      <w:r>
        <w:t>- 26 - d'enseignement sportif et qu'il est actif en qualité d'éducateur sportif depuis le 1er octobre 2005 (cf. rapport final du 21 août 2007 de l'OAI), c'est à juste titre que l'intimé a fait application du niveau de compétence 2 et qu'il a retenu un préjudice économique correspondant à 20 % du revenu sans invalidité déterminant pour tenir compte de sa capacité de travail résiduelle dans l'activité habituelle de 80 %. b) Cela étant, quand bien même l'on retenait le niveau de compétence 1 du revenu statistique de la branche de l'enseignement selon la TA1 (ligne 85) – soit (5'555 fr. / 40 × 41.7 × 12 = 69'493 fr. 05 en 2018, annexé à 2019 = 70'463 fr. 45) × 80 % = 56'370 fr. 80 – ou si l'on pratiquait un abattement de 10 % sur le revenu statistique de la branche de l'enseignement selon la TA1 (ligne 85) pour un niveau de compétence 2 comme le soutient le recourant – soit [74'284 fr. – (10 % × 74'284 fr.) = 66'855 fr. 60] × 80 % = 53'484 fr. 50 –, son préjudice économique serait toujours inférieur à 40 %, soit respectivement de 24 % et de 28 % (chiffres arrondis ; cf. ATF 130 V 121 consid. 3.4).</w:t>
      </w:r>
    </w:p>
    <w:p>
      <w:r>
        <w:rPr>
          <w:b/>
        </w:rPr>
        <w:t>E. 8.5</w:t>
      </w:r>
    </w:p>
    <w:p>
      <w:r>
        <w:t>En définitive, le degré d'invalidité du recourant peut être arrêté à 20 %.</w:t>
      </w:r>
    </w:p>
    <w:p>
      <w:r>
        <w:rPr>
          <w:b/>
        </w:rPr>
        <w:t>E. 9</w:t>
      </w:r>
    </w:p>
    <w:p>
      <w:r>
        <w:t>Vu la quotité du taux d'invalidité du recourant inférieure à 40 %, la décision du 8 avril 2022 de l'intimé lui refusant l'octroi d'une rente d'invalidité ne prête pas le flanc à la critique.</w:t>
      </w:r>
    </w:p>
    <w:p>
      <w:r>
        <w:rPr>
          <w:b/>
        </w:rPr>
        <w:t>E. 10</w:t>
      </w:r>
    </w:p>
    <w:p>
      <w:r>
        <w:t>Le recourant fait enfin grief à l’intimé de ne pas lui avoir octroyé des mesures d’ordre professionnel et en particulier une orientation professionnelle aux motifs qu'aucune mesure professionnelle simple et adéquate ne permettrait de réduire le préjudice économique et qu'il n’aurait pas été dans une dynamique de recherche d’emploi (comp. courrier du 8 avril 2022 de l'intimé au conseil du recourant). Il allègue être indécis quant à une nouvelle activité, « d'autant plus qu'il a pu sans doute trouver auprès de son employeur actuel une certaine souplesse pour pouvoir exercer une activité en lien avec le sport » (recours du 24 mai 2022, ch. 6). Il soutient que « cette difficulté à se</w:t>
      </w:r>
    </w:p>
    <w:p>
      <w:r>
        <w:t>- 27 - projeter » serait non seulement compréhensible, mais ne constituerait pas une raison pour refuser à l'assuré « un espace de réflexion sous la forme d'une orientation professionnelle permettant d'identifier concrètement des pistes professionnelles réalistes » (loc. cit.).</w:t>
      </w:r>
    </w:p>
    <w:p>
      <w:r>
        <w:rPr>
          <w:b/>
        </w:rPr>
        <w:t>E. 10.1</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la référence citée),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w:t>
      </w:r>
    </w:p>
    <w:p>
      <w:r>
        <w:t>- 28 - b) Aux termes de l'art. 15 LAI, l’assuré auquel son invalidité rend difficile le choix d'une profession ou l'exercice de son activité antérieure a droit à l’orientation professionnelle. L'octroi d'une orientation professionnelle suppose que l'assuré soit entravé, même de manière faible, dans sa recherche d'un emploi adéquat à la suite de problèmes de santé. Sont exclus les handicaps insignifiants qui n'ont pas pour effet de provoquer un empêchement sérieux et qui, par conséquent, ne justifient pas l'intervention de l'assurance-invalidité (TF 9C_534/2010 du 10 février 2011 consid. 3.2 et l'arrêt cité).</w:t>
      </w:r>
    </w:p>
    <w:p>
      <w:r>
        <w:rPr>
          <w:b/>
        </w:rPr>
        <w:t>E. 10.2</w:t>
      </w:r>
    </w:p>
    <w:p>
      <w:r>
        <w:t>a) En l’occurrence, le recourant ne démontre pas qu'il eût été dans une dynamique de recherche d'emploi, mais confirme avoir des difficultés à se projeter dans une activité différente de celle exercée en lien avec le sport auprès d'un employeur ayant fait preuve d'une certaine souplesse en sa faveur. Il ne peut ainsi être reproché à l'intimé d'avoir considéré qu'il n'était pas subjectivement apte à la réadaptation. b) Cela étant, l'intimé a précisé qu'une aide au placement pourrait être octroyée au recourant, s'il en faisait la demande. c) En conclusion, ce grief est mal fondé et il incombe au recourant de solliciter une mesure d’aide au placement s’il souhaite changer d’emploi.</w:t>
      </w:r>
    </w:p>
    <w:p>
      <w:r>
        <w:rPr>
          <w:b/>
        </w:rPr>
        <w:t>E. 11</w:t>
      </w:r>
    </w:p>
    <w:p>
      <w:r>
        <w:t>Le dossier est complet sur le plan médical et permet à la Cour de céans de statuer en pleine connaissance de cause. Il n’y a dès lors pas lieu de compléter l’instruction par la mise en œuvre d’une expertise judiciaire neurologique, comme le requiert le recourant aux termes de sa réplique du 8 septembre 2022. En effet, une telle mesure d’instruction ne serait pas de nature à modifier les considérations qui précèdent puisque les faits pertinents ont pu être constatés à satisfaction de droit (appréciation anticipée des preuves ; ATF 130 II 425 consid. 2.1 ; 122 II 464 consid. 4a).</w:t>
      </w:r>
    </w:p>
    <w:p>
      <w:r>
        <w:t>- 29 -</w:t>
      </w:r>
    </w:p>
    <w:p>
      <w:r>
        <w:rPr>
          <w:b/>
        </w:rPr>
        <w:t>E. 12</w:t>
      </w:r>
    </w:p>
    <w:p>
      <w:r>
        <w:t>a) En définitive, le recours, mal fondé, doit être rejeté et la décision litigieuse confirmée. b) La procédure de recours en matière de contestations portant sur des prestations de l’assurance-invalidité devant le tribunal cantonal des assurances est soumise à des frais judiciaires (art. 69 al. 1bis première phrase LAI). En l’espèce, les frais judiciaires doivent être arrêtés à 600 fr. (art. 69 al. 1bis deuxième phrase LAI) et mis à la charge du recourant, qui succombe (art. 49 al. 1 et 91 LPA-VD, applicables par renvoi de l’art. 99 LPA-VD). Ils seront provisoirement supportés par l'Etat, le recourant ayant été mis au bénéfice de l'assistance judiciaire (art. 122 al. 1 let. b CPC [code de procédure civile du 19 décembre 2008 ; RS 272], applicable par renvoi de l’art. 18 al. 5 LPA-VD). c) Il n’y a au demeurant pas lieu d’allouer de dépens au recourant, qui n’obtient pas gain de cause (art. 61 let. g a contrario LPGA et art. 55 LPA-VD). d) Le recourant remboursera les frais judiciaires, provisoirement supportés par l’Etat, dès qu’il sera en mesure de le faire (art. 122 al. 1 et 123 CPC, applicables par renvoi de l’art. 18 al. 5 LPA-VD). Il incombera à la Direction du recouvrement de la Direction générale des affaires institutionnelles et des communes (auparavant : le Service juridique et législatif) de fixer le principe et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