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ZD22.020814 vom 8. März 2023</w:t>
      </w:r>
    </w:p>
    <w:p>
      <w:r>
        <w:t>VD Tribunal cantonal, 2023-03-08, FR</w:t>
      </w:r>
    </w:p>
    <w:p>
      <w:r>
        <w:rPr>
          <w:b/>
        </w:rPr>
        <w:t xml:space="preserve">Quelle: </w:t>
      </w:r>
      <w:r>
        <w:t>https://mcp.opencaselaw.ch/entscheid/vd_gerichte_ZD22.020814</w:t>
      </w:r>
    </w:p>
    <w:p>
      <w:r>
        <w:t>FR: VD_GERICHTE ZD22.020814 du 8 mars 2023</w:t>
      </w:r>
    </w:p>
    <w:p>
      <w:r>
        <w:t>IT: VD_GERICHTE ZD22.020814 del 8 marzo 2023</w:t>
      </w:r>
    </w:p>
    <w:p>
      <w:pPr>
        <w:pStyle w:val="Heading2"/>
      </w:pPr>
      <w:r>
        <w:t>Erwägungen</w:t>
      </w:r>
    </w:p>
    <w:p>
      <w:r>
        <w:rPr>
          <w:b/>
        </w:rPr>
        <w:t>E. 6</w:t>
      </w:r>
    </w:p>
    <w:p>
      <w:r>
        <w:t>a) Pour évaluer le degré d'invalidité, il existe principalement trois méthodes – la méthode générale de comparaison des revenus, la méthode spécifique et la méthode mixte –, dont l'application dépend du</w:t>
      </w:r>
    </w:p>
    <w:p>
      <w:r>
        <w:t>- 9 -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128 V 29 ; également TF 9C_236/2009 du 7 octobre 2009 consid. 3 et 4).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Par travaux habituels, il faut notamment entendre l'activité usuelle dans le ménage, ainsi que les soins et l’assistance apportés aux proches (art. 27 al. 1 RAI).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w:t>
      </w:r>
    </w:p>
    <w:p>
      <w:r>
        <w:t>- 10 - calculer le degré d'invalidité d'après le handicap dont la personne est affectée dans les deux domaines d'activité en question ; c'est la méthode mixte d'évaluation de l'invalidité (art. 28a al. 3 LAI en corrélation avec l'art. 27bis RAI dans sa teneur en vigueur depuis le 1er janvier 2018 vu la date des décisions litigieuses, soit le 14 avril 2022 ; ATF 137 V 334 ; 131 V 51 consid. 5.1.2).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w:t>
      </w:r>
    </w:p>
    <w:p>
      <w:r>
        <w:rPr>
          <w:b/>
        </w:rPr>
        <w:t>E. 7</w:t>
      </w:r>
    </w:p>
    <w:p>
      <w:r>
        <w:t>En l’occurrence, il n’est pas possible de suivre le raisonnement défendu par l’office intimé, selon lequel le statut actuel du recourant serait celui d’une personne sans activité lucrative, justifiant ainsi l’usage de la méthode spécifique d’évaluation de l’invalidité. Le raisonnement tenu repose en effet sur la prémisse erronée que l'absence d'exercice d'une activité lucrative induirait nécessairement l'application de la méthode spécifique d'évaluation de l'invalidité à la personne assurée concernée. Cette interprétation ne correspond toutefois pas au système de la loi, du moins tel qu’il avait cours jusqu’au 31 décembre 2021. En effet, les travaux habituels qui peuvent être assimilés à l'exercice d'une activité</w:t>
      </w:r>
    </w:p>
    <w:p>
      <w:r>
        <w:t>- 11 - lucrative et que l'on peut dès lors prendre en compte, par le biais de la méthode spécifique, pour l'évaluation de l'invalidité correspondent à l’activité usuelle dans le ménage, ainsi qu’aux soins et à l’assistance apportés aux proches (art. 27 al. 1 RAI). En l'espèce, le recourant ne s'inscrit pas dans l'une des catégories décrites ci-dessus. L'office intimé n'évoque d'ailleurs aucun argument qui permettrait d'admettre, au degré de la vraisemblance prépondérante, que le recourant aurait décidé, s’il avait été en mesure de prendre une retraite anticipée, de consacrer son temps à l'accomplissement de travaux habituels. Au contraire, il ressort du dossier que le recourant a indiqué à l’enquêtrice mandatée pour procéder à l’évaluation économique sur le ménage qu’il ne s’était jamais occupé de tâches ménagères, son épouse s’en étant toujours chargée. Il résulte de ce qui précède que la méthode spécifique d'évaluation de l'invalidité n'entre pas en ligne de compte dans le cas d'espèce (cf. TF 9C_36/2013 du 21 juin 2013 consid. 4.4.1).</w:t>
      </w:r>
    </w:p>
    <w:p>
      <w:r>
        <w:rPr>
          <w:b/>
        </w:rPr>
        <w:t>E. 8</w:t>
      </w:r>
    </w:p>
    <w:p>
      <w:r>
        <w:t>a) En vérité, le fait que le bénéficiaire d'une rente de l'assurance-invalidité ait été théoriquement en mesure de prendre une retraite anticipée s’il était resté en bonne santé ne saurait constituer un motif juridique de révision au sens de l'art. 17 LPGA. D'une part, il est évident que l'état de santé de la personne assurée ne subit aucune modification du seul fait du départ en retraite anticipée. D'autre part, on ne saurait parler d'un véritable changement de statut juridique, la jurisprudence rappelée plus haut, sous consid. 5b, visant avant tout le passage d'une activité ménagère à une activité professionnelle et vice versa. Au contraire, le Tribunal fédéral a souligné dans sa jurisprudence que le motif de révision consistant dans un changement de méthode d’évaluation de l’invalidité devait être étayé par une modification (effective ou hypothétique) des faits déterminants (TF 9C_458/2014 du 26 août 2014 consid. 1; voir également ULRICH MEYER/MARCO REICHMUTH, Rechtsprechung des Bundesgerichts zum IVG, 4e éd., 2022, n. 27 ad art. 30 LAI). Or, en l’occurrence, la fin de la carrière professionnelle du recourant résulte de la survenance le 23 avril 2019 d’une incapacité de travail totale et définitive, et non d’une éventuelle décision de ce dernier de prendre une retraite anticipée. En date du 1er mai 2021, la situation</w:t>
      </w:r>
    </w:p>
    <w:p>
      <w:r>
        <w:t>- 12 - objective du recourant n’a d’ailleurs connu aucun changement particulier justifiant de revoir le droit à la rente. Le fait que le recourant ait indiqué, à réitérées reprises, qu’il aurait pris, s’il était resté en bonne santé, une retraite anticipée à compter du 1er mai 2021 (formulaire « Détermination du statut » rempli le 8 mai 2021 ; entretien téléphonique du 17 mai 2021 ; rapport d’évaluation économique sur le ménage du 18 novembre 2021), importe peu, dans la mesure où la survenance de l’atteinte à la santé a, dans les faits, rendu caduque la question du départ à la retraite anticipée. b) De même, le fait que le bénéficiaire d'une rente de l'assurance-invalidité touche des prestations d’assurance au titre de la retraite anticipée ne saurait constituer un motif juridique de révision au sens de l'art. 17 LPGA. Certes le recourant est éligible sur le principe, parce qu’il en remplit les conditions réglementaires, à une rente transitoire ordinaire versée par la Fondation FAR. Il n’en demeure pas moins qu’il peut, en raison de son invalidité, prétendre à une rente d’invalidité de l’assurance-invalidité ainsi qu’à des prestations d’invalidité de l’institution de prévoyance auprès de laquelle il était assuré au moment de la survenance de l’incapacité de travail à l’origine de son invalidité. Or, ainsi que le précise l’art. 18 al. 1 du règlement relatif aux prestations et aux cotisations de la fondation pour la retraite anticipée dans le secteur principal de la construction, les prestations allouées par ledit règlement sont subsidiaires aux autres prestations légales et conventionnelles, soit notamment les prestations de l’assurance-invalidité et de la prévoyance professionnelle. En ce sens, le versement d’une rente transitoire par la Fondation FAR ne diffère guère d’une prestation qui proviendrait d’un régime privé d’assurance et on ne saurait y voir une modification des circonstances économiques au sens de l’art. 17 LPGA. c) Au surplus, il convient d’ajouter que le changement de statut, à supposer qu’il doive être pris en considération, n’est pas suffisamment établi. Entre un projet de retraite anticipée et la réalité telle qu’elle apparaît une fois connu le montant effectif de la rente de retraite anticipée, il y a souvent un gouffre que la simple volonté ne permet pas de combler.</w:t>
      </w:r>
    </w:p>
    <w:p>
      <w:r>
        <w:t>- 13 -</w:t>
      </w:r>
    </w:p>
    <w:p>
      <w:r>
        <w:rPr>
          <w:b/>
        </w:rPr>
        <w:t>E. 9</w:t>
      </w:r>
    </w:p>
    <w:p>
      <w:r>
        <w:t>a) En définitive, le recours, bien fondé, doit être admis et les décisions attaquées réformées en ce sens que le recourant a droit à une rente entière d’invalidité depuis le 1er avril 2020. b) La procédure de recours en matière de contestations portant sur l’octroi ou le refus de prestations de l’assurance-invalidité est soumise à des frais de justice (art. 69 al. 1bis LAI). Il convient de les fixer à 600 fr. et de les mettre à la charge de l’office intimé, vu l’issue du litige. c) Obtenant gain de cause, le recourant a droit à une indemnité de dépens à titre de participation aux honoraires de son conseil (art. 61 let. g LPGA). Il convient d’arrêter cette indemnité à 2’800 fr., débours et TVA compris (art. 10 et 11 du tarif du 28 avril 2015 des frais judiciaires et des dépens en matière administrative [TFJDA ; BLV 173.36.5.1]) et de la mettre à la charge de l’office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