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ZD22.020809 vom 29. August 2024</w:t>
      </w:r>
    </w:p>
    <w:p>
      <w:r>
        <w:t>VD Tribunal cantonal, 2024-08-29, FR</w:t>
      </w:r>
    </w:p>
    <w:p>
      <w:r>
        <w:rPr>
          <w:b/>
        </w:rPr>
        <w:t xml:space="preserve">Quelle: </w:t>
      </w:r>
      <w:r>
        <w:t>https://mcp.opencaselaw.ch/entscheid/vd_gerichte_ZD22.020809</w:t>
      </w:r>
    </w:p>
    <w:p>
      <w:r>
        <w:t>FR: VD_GERICHTE ZD22.020809 du 29 août 2024</w:t>
      </w:r>
    </w:p>
    <w:p>
      <w:r>
        <w:t>IT: VD_GERICHTE ZD22.020809 del 29 agosto 2024</w:t>
      </w:r>
    </w:p>
    <w:p>
      <w:pPr>
        <w:pStyle w:val="Heading2"/>
      </w:pPr>
      <w:r>
        <w:t>Erwägungen</w:t>
      </w:r>
    </w:p>
    <w:p>
      <w:r>
        <w:rPr>
          <w:b/>
        </w:rPr>
        <w:t>E. 4</w:t>
      </w:r>
    </w:p>
    <w:p>
      <w:r>
        <w:t>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- 14 -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w:t>
      </w:r>
    </w:p>
    <w:p>
      <w:r>
        <w:t>- 15 -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- 16 -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8</w:t>
      </w:r>
    </w:p>
    <w:p>
      <w:r>
        <w:t>a) En l’occurrence, dans sa décision du 26 avril 2022, l’intimé a considéré que la recourante ne présentait pas d’atteinte durable à la santé invalidante au sens de l’assurance-invalidité et a retenu qu’elle bénéficiait d’une capacité de travail entière dans son activité habituelle, ainsi que dans toute autre activité adaptée à ses limitations fonctionnelles (pour rappel, éviter les activités intellectuelles en raison d’un retard mental léger depuis l’enfance), hormis une brève période d’incapacité totale de juillet à décembre 2018 en raison d’un trouble dépressif récurrent sévère, insuffisante pour ouvrir le droit à une rente. Il a en</w:t>
      </w:r>
    </w:p>
    <w:p>
      <w:r>
        <w:t>- 17 - conséquence nié à la recourante le droit à des prestations. Cette décision se base sur les conclusions du rapport d’expertise psychiatrique établi le 19 octobre 2021 par la Dre Z.________. De son côté, la recourante déplore une instruction incomplète de son cas sur le plan médical. b) L’expertise psychiatrique réalisée par la Dre Z.________ ne saurait emporter la conviction de la Cour dès lors qu’elle ne répond pas aux réquisits énoncés par la jurisprudence fédérale en la matière. La Dre Z.________ retient que la recourante ne présente aucun diagnostic incapacitant et pose les diagnostics sans répercussion sur la capacité de travail de trouble dépressif récurrent léger depuis janvier 2019 (F33.0), d’agoraphobie avec phobie sociale légère (F40.1) et de traits de la personnalité anxieuse, émotionnellement labile et dépendante actuellement non décompensés (Z73.1). De manière contradictoire, la médecin conclut cependant que la capacité de travail de l’assurée, d’un point de vue psychiatrique, est entière depuis janvier 2019 dans toute activité adaptée, c’est-à-dire tout emploi simple intellectuellement et sans interactions sociales complexes. Elle retient ainsi des limitations fonctionnelles, alors qu’elle nie tout diagnostic incapacitant. Cette contradiction découle du fait que la Dre Z.________ n’a pas diagnostiqué de retard mental chez l’assurée, alors qu’elle retient des limitations fonctionnelles découlant de cette pathologie, sans réelle motivation. Or le retard mental léger dont souffre l’assurée, lequel ressort de l’ensemble du dossier AI (cf. notamment l’avis médical du 6 mai 2021 de la Dre Q.________ du SMR), est le principal trouble qui l’empêche d’exercer une activité professionnelle depuis des années. Ce trouble aurait dû faire l’objet d’une investigation complète et détaillée, sur la base de laquelle la médecin aurait fondé ses conclusions quant aux limitations fonctionnelles en découlant, ce que la Dre Z.________ n’a pas fait. Partant, son rapport d’expertise est lacunaire sur un point essentiel du dossier.</w:t>
      </w:r>
    </w:p>
    <w:p>
      <w:r>
        <w:t>- 18 - S’agissant des diagnostics qu’elle a retenus, la Dre Z.________ nie une quelconque répercussion durable sur la capacité de travail de l’assurée, aux motifs que cette dernière est en mesure d’exécuter les tâches de son quotidien en dehors des tâches intellectuelles comme la gestion de ses affaires administratives, pour lesquelles elle bénéficie d’une curatelle, et qu’au bénéfice d’une formation AFP d’employée d’intendance, elle a travaillé en tant que tel par le passé. Ce raisonnement ne s’avère pas convaincant car contredit par l’ensemble des pièces au dossier et par le parcours professionnel de l’intéressée qui n’est jamais parvenue à conserver un emploi sur la durée, en raison de sa lenteur d’exécution des tâches confiées, de son trouble de l’attention et de sa difficulté à gérer ses émotions, malgré de nombreuses mesures mises en place par l’intimé. D’ailleurs, la recourante n’a pu mener à bien sa formation AFP d’employée d’intendance que grâce à l’encadrement spécialisé de l’Institut [...]. Ces éléments de l’anamnèse de la recourante n'ont à tort pas été pris en compte, selon les règles de l’art, dans l’analyse psychiatrique réalisée. Par ailleurs, l’experte psychiatre se méprend lorsqu’elle retient de bonnes capacités et ressources de la recourante qui parvient à affronter son quotidien. Le déroulement détaillé et représentatif d’une journée-type figurant en page 16 du rapport d’expertise mentionne que les principales activités de l’intéressée sont d’écouter de la musique, surfer sur Internet pour regarder des vidéos sur YouTube®, vérifier ses réseaux sociaux, jouer aux jeux vidéo plusieurs heures par jour et regarder des films ou des séries sur son téléphone. Un tel descriptif ne permet pas de déduire que la recourante est en mesure de mener à bien l’exercice d’une profession. En outre, il convient de rappeler que, depuis l’âge de douze ans, l’intéressée a bénéficié d’un enseignement spécialisé et qu’elle est parvenue à achever sa scolarité et sa formation professionnelle uniquement grâce aux différentes mesures mises en place par l’office intimé durant toutes ces années. L’ensemble de ces éléments conduisent plutôt à nier le fait que la recourante serait apte à travailler à plein temps dans le marché du travail libre.</w:t>
      </w:r>
    </w:p>
    <w:p>
      <w:r>
        <w:t>- 19 - L’experte psychiatre fonde également son argumentation et ses conclusions niant tout diagnostic incapacitant sur l’absence d’un traitement antidépresseur et d’un suivi psychothérapeutique. Cet élément est contredit par les éléments au dossier, dont il ressort que la recourante a été suivie durant plusieurs mois à partir du 8 août 2018 à la Consultation de [...] par l’intermédiaire de laquelle elle a notamment fait l’objet d’un bilan (cf. rapport du 25 janvier 2019 de la Dre D.________ avec annexe). En outre, c’est principalement en raison des troubles dont elle souffre que la recourante n’arrive pas à s’engager dans des démarches à long terme, y compris sous l’angle thérapeutique. Le raisonnement de l’experte ne peut donc pas être suivi. On observe encore que l’experte psychiatre indique que la seule incohérence relevée chez la recourante est une demande de rente AI à 100 %, en l’absence de limitations fonctionnelles objectivables en dehors du retard mental léger depuis l’enfance (cf. p. 18 et 35 de l’expertise). A cet égard, le rapport d’expertise contient une remarque déplacée et inutile formulée par son auteure qui sort de son rôle, alors que son appréciation du dossier n’est à l’évidence pas correcte. c) Les rapports médicaux produits dans la présente procédure par la recourante, bien que postérieurs à la décision attaquée, doivent être pris en considération puisqu’ils concernent les mêmes atteintes à la santé que celles invoquées dans le cadre de la demande de prestations du 13 septembre 2018. Ainsi, dans son rapport d’investigation du 17 mai 2022, le Dr V.________ relève que les résultats des tests réalisés en lien avec le retard mental de la recourante évoquent significativement la participation d’un dysfonctionnement cérébral qui n’a pas été investigué. Par la suite une IRM cérébrale du 7 juin 2022 a été réalisée, sans autre investigation. Il s’en suit qu’en l’état du dossier, l’aspect neuropsychologique des atteintes à la santé présentées par la recourante n’a jamais été investigué par l’office intimé. d) Il découle de ce qui précède que l’OAI a statué sur la base d’un dossier lacunaire. Le rapport d’expertise psychiatrique établi le 19</w:t>
      </w:r>
    </w:p>
    <w:p>
      <w:r>
        <w:t>- 20 - octobre 2021 par la Dre Z.________ apparaissant insuffisant pour permettre de se prononcer en connaissance de cause tant sur la capacité de travail que sur les limitations fonctionnelles présentées par la recourante.</w:t>
      </w:r>
    </w:p>
    <w:p>
      <w:r>
        <w:rPr>
          <w:b/>
        </w:rPr>
        <w:t>E. 9</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9C_259/2022 du 20 septembre 2022 consid. 5.1.1 et les références).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2ème éd., nos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t>- 21 - d) En l’occurrence, il ne pouvait échapper à l’intimé que le rapport d’expertise psychiatrique de la Dre Z.________ s’avérait insuffisant pour statuer sur le cas de la recourante. Partant, il s’impose d’annuler la décision attaquée et de renvoyer la cause à l’intimé pour instruction complémentaire. En effet, l’OAI n’a pas correctement investigué l’état de santé de la recourante sous l’angle psychiatrique et n’a pas du tout instruit le dossier du point de vue neuropsychologique, de sorte qu’il n’appartient pas à la Cour de céans d’instruire et trancher cette dernière problématique, dans la mesure où elle n’a jusqu’à présent fait l’objet d’aucun éclaircissement. Dans ce contexte, il incombera à l’intimé de compléter le dossier en obtenant les comptes-rendus des hospitalisations en milieu psychiatrique datant du second semestre 2018 évoquées par le Dr V.________ puis cela fait de mettre en œuvre une nouvelle expertise psychiatrique et neuropsychologique de la recourante, toute autre spécialité étant réservée, destinée à clarifier le tableau clinique présenté par celle-ci et les répercussions de ses atteintes à la santé sur sa capacité de travail. Une fois l’instruction complétée, il appartiendra à l’office intimé de fixer le degré d’invalidité de la recourante et, sur cette base, d’examiner si l’intéressée a droit à des mesures professionnelles ou à une rente de l’assurance-invalidité, voire d’une rente extraordinaire.</w:t>
      </w:r>
    </w:p>
    <w:p>
      <w:r>
        <w:rPr>
          <w:b/>
        </w:rPr>
        <w:t>E. 10</w:t>
      </w:r>
    </w:p>
    <w:p>
      <w:r>
        <w:t>a)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Dès lors que seul l’avocat désigné comme curateur ou tuteur qui mène avec succès le procès de son pupille peut prétendre à des dépens (ATF 124 V 338 consid. 4 et la référence), le Service des curatelles</w:t>
      </w:r>
    </w:p>
    <w:p>
      <w:r>
        <w:t>- 22 - et tutelles professionnelles n’a pas droit à l’allocation de dépens pour la défense des intérêts de la recourante. d) Vu ce qui précède, la demande d’assistance judiciaire du 23 mai 2022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