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ZD22.020368 vom 23. Juli 2024</w:t>
      </w:r>
    </w:p>
    <w:p>
      <w:r>
        <w:t>VD Tribunal cantonal, 2024-07-23, FR</w:t>
      </w:r>
    </w:p>
    <w:p>
      <w:r>
        <w:rPr>
          <w:b/>
        </w:rPr>
        <w:t xml:space="preserve">Quelle: </w:t>
      </w:r>
      <w:r>
        <w:t>https://mcp.opencaselaw.ch/entscheid/vd_gerichte_ZD22.020368</w:t>
      </w:r>
    </w:p>
    <w:p>
      <w:r>
        <w:t>FR: VD_GERICHTE ZD22.020368 du 23 juillet 2024</w:t>
      </w:r>
    </w:p>
    <w:p>
      <w:r>
        <w:t>IT: VD_GERICHTE ZD22.020368 del 23 luglio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- 11 -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w:t>
      </w:r>
    </w:p>
    <w:p>
      <w:r>
        <w:t>- 14 -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w:t>
      </w:r>
    </w:p>
    <w:p>
      <w:r>
        <w:t>- 12 -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- 13 -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a) En l’espèce, il ressort du dossier que la recourante présente des troubles d’ordre neuropsychologique et une symptomatologie anxieuse ainsi qu’en lien avec la consommation abusive d’alcool. Dans sa décision du 30 mars 2022, l’intimé s’est fondé sur le rapport d’expertise du 6 décembre 2021 du Dr V.________, qu’elle qualifiait de probant, pour retenir que la recourante ne présentait pas d’atteinte invalidante et que sa capacité de travail était entière dans toute activité depuis 2014, hormis durant les hospitalisations où la capacité de travail était nulle. Selon cet expert, l’atteinte de la recourante était légère et sans répercussion uniforme sur les activités du quotidien. Les ressources étaient présentes et mobilisables et la vie sociale était réduite mais sans isolement total. Le suivi était très espacé, sans traitement médicamenteux et sans hospitalisation psychiatrique. b) Toutefois, force est de constater que l’expertise du Dr V.________ ne permettait pas à la Cour de céans de se prononcer sur la capacité de travail de la recourante sur le plan psychiatrique. En effet, l’expertise comportait plusieurs lacunes, respectivement des points difficilement compréhensibles. A cet égard, il convient tout d’abord de relever l’absence de discussion structurée et étayée des diagnostics, de sorte qu’il n’était pas possible, à la lecture de l’expertise, de comprendre les raisons ayant conduit le Dr V.________ à retenir ou écarter un diagnostic plutôt qu’un autre. De plus, le Dr V.________ ne s’est pas entretenu avec les différents psychiatres traitants de la recourante, alors même qu’il s’écartait en partie des diagnostics qu’ils avaient posés, et que son évaluation de la capacité de travail de la recourante était diamétralement opposée à la leur. C’est d’autant plus regrettable que l’expert, à l’inverse des psychiatres traitants, a uniquement retenu l’existence d’une « phobie sociale légère, car la recourante sort[ait] seule sans difficulté », assertion qui était en</w:t>
      </w:r>
    </w:p>
    <w:p>
      <w:r>
        <w:t>- 15 - contradiction avec l’anamnèse personnelle et médicale décrite par les psychiatres traitants, lesquels faisaient état d’une forte anxiété avec agoraphobie et de crises d’angoisses persistantes, ce qui se manifestait par une difficulté pour la recourante de sortir de chez elle, spécialement lorsqu’elle devait se rendre en des endroits inhabituels, l’évitement de certaines situations, une volonté d’écourter ses sorties, d’annuler ses rendez-vous à l’extérieur ou encore d’emprunter toujours le même chemin lorsqu’elle promenait son chien ; qui plus est, il ressort de l’expertise que la recourante s’est rendue aux entretiens d’expertise en train, accompagnée d’une amie proche. Compte tenu de ces éléments, il aurait également été souhaitable que le Dr V.________ discute des raisons médicales qui auraient pu expliquer que la recourante a, à plusieurs reprises, reporté le second rendez-vous d’expertise, lequel a finalement eu lieu le 3 décembre 2021. Aussi, en tant qu’il ressort des rapports des psychiatres traitants que la recourante était globalement en mesure de gérer son quotidien grâce à une routine relativement prononcée, le raisonnement du Dr V.________, consistant à nier certains diagnostics ou leur répercussion sur la capacité de travail de la recourante, du fait que la recourante arrivait à gérer son quotidien sans limitations, apparait léger, voire difficilement compréhensible. Dans ce contexte, un tel constat ne permet au demeurant pas de déduire quoi que ce soit concernant la capacité de travail de la recourante, encore moins dans son ancienne activité de déléguée commerciale, qui impliquait notamment des déplacements et des contacts avec la clientèle. En outre, le Dr V.________ a omis de relever qu’un suivi psychologique bimensuel avait été mis en place, en sus du suivi psychiatrique dispensé tous les quatre mois. Enfin, on peut encore observer que le Dr V.________ n’a pas non plus procédé à des tests neuropsychologiques, quand bien même le rapport d’expertise était cosigné par K.________, psychologue et psychothérapeute. c) En dépit de ces divers éléments, l’intimé, dans ses déterminations du 21 février 2024, a continué à soutenir que l’expertise du Dr V.________ revêtait une pleine valeur probante. Dans ce contexte, il se justifiait de mettre en œuvre une expertise judiciaire psychiatrique.</w:t>
      </w:r>
    </w:p>
    <w:p>
      <w:r>
        <w:t>- 16 - Cela étant, il n’y a pas lieu de s’écarter des conclusions convaincantes de l’expertise judiciaire psychiatrique et de son complément réalisés par les Dres J.________ et P.________, lesquels remplissent les réquisits jurisprudentiels pour se voir reconnaître une pleine valeur probante. aa) Sur le plan formel, la Cour de céans constate que les expertes, toutes deux spécialistes en psychiatrie et psychothérapie, ont rendu leur rapport sur la base d’une anamnèse circonstanciée (personnelle, familiale, professionnelle, sociale et affective), en tenant compte de l’ensemble de la documentation médicale au dossier, des plaintes exprimées par la recourante, de ses antécédents, du déroulement de sa journée-type (activités quotidiennes, vie sociale et loisirs) et de son traitement médicamenteux et psychiatrique). Elles ont également procédé à un examen clinique détaillé, rencontrant la recourante à trois reprises (dont une fois en présence de la Dre J.________). Les expertes se sont d’ailleurs heurtées à plusieurs difficultés lors des entretiens. Par exemple, la recourante ne voulait pas aborder des sujets qui soulevaient trop d’émotions, sans pour autant parvenir à décrire pourquoi. Face à l’insistance des examinatrices, elle faisait preuve d’irritabilité, d’impatience et d’impulsivité, à tel point qu’elle a tenu à arrêter le premier entretien. Les examinatrices ont dès lors dû prendre garde à ne pas confronter inutilement la recourante lors des entretiens suivants au point de ne plus vouloir collaborer à l’investigation. De plus, ayant constaté un probable déficit cognitif (notamment des troubles de la mémoire et un fléchissement des fonctions exécutives) lors d’une évaluation cognitive de dépistage (test de MoCA), les expertes ont décidé de mandater N.________, psychologue, spécialiste en neuropsychologie, afin de réaliser une évaluation neuropsychologique complète et spécialisée. Elles se sont de surcroît entretenues téléphoniquement avec le médecin-traitant de la recourante, le Dr C.________, avec la Dre X.________, psychiatre traitante de la recourante, avec B.________, infirmier indépendant en psychiatrie auprès de la recourante et avec Z.________, assistante sociale au Centre social régional (CSR) de [...]. Les conclusions des expertes, prises sur la base d’une description claire du contexte médical, sont dûment motivées,</w:t>
      </w:r>
    </w:p>
    <w:p>
      <w:r>
        <w:t>- 17 - claires et exemptes de contradiction. Elles ont été en mesure de discuter en détail les diagnostics retenus et leurs effets sur la capacité de travail de la recourante et d’expliquer les raisons justifiant de s’écarter de l’appréciation du Dr V.________, et exclu d’autres diagnostics susceptibles d’entrer en ligne de compte. bb) D’un point de vue matériel, les expertes ont tout d’abord posé le diagnostic de trouble neuropsychologique au moins moyen dans le cadre d’un déficit cognitif persistant de survenue tardive, induit par l’alcool et possiblement dans le cadre d’un trouble mental organique dû à une affection physique sans précision ; elles ont indiqué que la recourante s’approchait d’une démence au sens strict mais qu’elle ne remplissait pas encore véritablement les critères d’un tel diagnostic, la recourante ne présentant pas de perte d’autonomie dans sa vie quotidienne. Les expertes ont estimé qu’il était nécessaire de réaliser un bilan somatique complémentaire pour clarifier la ou les causes de cette atteinte cognitive, comprenant notamment un bilan sanguin élargi et une IRM cérébrale, voire une ponction lombaire, ce qui sortait toutefois du cadre de la présente expertise et n’en changerait pas les conclusions. En effet, sur le plan clinique, une origine multifactorielle était plausible et comprenait très probablement, au premier plan, une composante toxique en lien avec une consommation d’alcool excessive de longue date, une composante psychiatrique plus modeste entrant également en considération, en lien avec le trouble de la personnalité et le trouble anxieux. Les expertes ont poursuivi en indiquant qu’une atteinte aux fonctions cognitives avait toujours un impact sur les modalités relationnelles des personnes qui en souffraient et que cet impact pouvait se manifester tant par des symptômes psychologiques (anxiété, dépression, psychose) que par des troubles du comportement (apathie, agitation, agressivité). Concernant le cas de la recourante, elles ont expliqué que l’atteinte comportait notamment une altération de la cognition sociale, ce qui se traduisait par une difficulté de reconnaissance faciale à contenu émotionnel. La perception de ses propres limitations et de ses fragilités pouvait amener la personne à éprouver de la détresse, de l’anxiété ou du désespoir. L’objectif d’abstinence durable ou d’engagement psychothérapeutique</w:t>
      </w:r>
    </w:p>
    <w:p>
      <w:r>
        <w:t>- 18 - étaient des démarches qui nécessitaient une flexibilité mentale dont la recourante ne disposait plus actuellement. S’agissant du diagnostic de trouble mental et de comportement en lien avec l’utilisation d’alcool, utilisation actuelle, les expertes ont retenu une consommation abusive d’alcool qu’à partir du milieu des années 2000, reconnue par la recourante, avec impact de sa consommation sur son éprouvé ou sur son contexte de vie qu’à partir de 2010. L’aggravation était liée à la consommation abusive d’alcool de son compagnon ainsi qu’au départ de la fille de son compagnon en mai 2010 pour rejoindre sa mère sortie de prison, puis en raison de violences conjugales subies, la décision de son compagnon de se séparer d’elle et enfin l’hospitalisation de sa mère en avril 2023. Ce diagnostic se manifestait notamment par la difficulté que présentait la recourante à contrôler la quantité consommée sur le moment et à la poursuite de cette consommation chronique malgré la survenue de conséquences négatives pour elle. Si la recourante pouvait rapporter certaines périodes de consommations contrôlées, ce qui était aussi attesté par les autres intervenants, celles-ci ne duraient souvent tout au plus que quelques mois et étaient émaillées de reprises de consommation excessives ponctuelles de quelques jours ou quelques semaines avant que la recourante ne se retrouvât à nouveau dans une période plus prolongée de consommation abusive d’alcool. Dans leur complément d’expertise (p. 8), les expertes ont rappelé que la recourante présentait une anamnèse de dépendance de longue date à l’alcool et une atteinte neurocognitive significative, dont le tableau touchait les fonctions exécutives, attentionnelles et de mémoire, ce qui renvoyait prioritairement à une probable étiologie toxique alcoolique ; les altérations cognitives objectivées par la neuropsychologue N.________ étaient bien supérieures à ce que l’on pourrait attendre à trouver si elles étaient uniquement dues aux comorbidités psychiatriques diagnostiquées (trouble anxieux et trouble de la personnalité). Les répercussions fonctionnelles de cette dépendance à l’alcool étaient graves en raison d’une altération significative des compétences cognitives de la recourante et par une majoration de son trouble anxieux durant les périodes de consommations abusives. Cette atteinte neurocognitive venait</w:t>
      </w:r>
    </w:p>
    <w:p>
      <w:r>
        <w:t>- 19 - clairement altérer les ressources psychiques de l’intéressée pour élaborer ses troubles et développer des stratégies qui limiteraient l’atteinte à la santé, et ce y compris sur le plan addictologique. Ainsi consommait-elle de l’alcool pour « se détendre », en lien avec son trouble anxieux de base, alors que cette consommation, régulièrement abusive, contribuait à la majoration de son trouble anxieux et empêchait une potentielle récupération de ses fonctions cognitives altérées, lesquelles limitaient les capacités de l’intéressée de tirer des bénéfices des soins qu’elle allait pourtant activement chercher (cf. complément d’expertise, p. 8). Concernant le diagnostic d’agoraphobie avec trouble panique, les expertes ont relevé que l’épisode de crainte de la mort soudaine et imminente par infarctus avait renvoyé la recourante au décès de son père lorsqu’elle avait 20 ans. Cela a évolué vers une crainte majeure à être seule à l’extérieur de son domicile, à utiliser son propre véhicule ou à se rendre dans les magasins ou dans un espace clos (ascenseur, IRM) par crainte d’éprouver une crise d’angoisse loin de tout refuge. Elle utilisait des stratagèmes d’évitement des situations phobogènes en restreignant de plus en plus son périmètre de vie, au point de renoncer à conduire son véhicule, de se rendre toujours dans les mêmes magasins à proximité de chez elle et de ne plus parvenir à modifier la balade qu’elle faisait avec son chien autrement qu’en changeant de sens. Même dans les lieux publics familiers, elle pouvait être saisie d’angoisses soudaines, se mettant alors à marcher énergiquement dans le lieu où elle se trouvait pour faire passer la crise, comme le lui avait appris les soignants, voire à rentrer chez elle si cette technique ne fonctionnait pas (cf. complément expertise p. 4, 2e paragraphe). En définitive, il s’agissait d’une restriction croissante de son périmètre de vie que ses angoisses récurrentes lui imposaient pour éviter tout imprévu (cf. complément rapport expertise, p. 6). Aussi, les expertes J.________ et P.________ ont clairement expliqué pour quels motifs on ne saurait considérer l’irrégularité de la recourante aux entretiens thérapeutiques comme la preuve de la bénignité de son atteinte psychique, contrairement aux indications du SMR et de l’absence de discussion à ce sujet de l’expert V.________. En effet, il s’agissait au contraire d’indices en faveur d’une potentielle gravité de l’atteinte</w:t>
      </w:r>
    </w:p>
    <w:p>
      <w:r>
        <w:t>- 20 - psychique. Par ailleurs, lorsque l’expert V.________ a déclaré qu’il n'avait pas observé de symptômes anxieux, les expertes ont formulé l’hypothèse que les anxiolytiques pris juste avant l’entretien avaient permis de contenir lesdits symptômes. Pour finir, elles ont également critiqué l’affirmation, non étayée, du Dr V.________, selon laquelle les entretiens menés avaient uniquement révélé la présence d’une « phobie sociale légère, car la recourante sort seule sans difficulté », alors même que la recourante avait eu de grandes difficultés à se rendre au second entretien agendé auprès de cet expert. Enfin, les expertes ont également retenu les diagnostics de trouble de la personnalité dépendante et de trouble dépressif récurrent, actuellement en rémission, tous deux sans répercussion sur la capacité de travail. Compte tenu de ce qui précède, les expertes J.________ et P.________ ont considéré que la recourante présentait une constellation de problématiques psychiatriques dont l’évolution au fil des quinze dernières années avait malheureusement altéré très significativement ses ressources adaptatives et qu’elle se trouvait aujourd’hui démunie pour atténuer l’impact de ses troubles sur sa personne ou sur son existence. Le trouble cognitif avéré que présentait la recourante, quelle que soit son origine, impliquait que la capacité fonctionnelle de celle-ci était significativement limitée au quotidien et de manière accrue dans une activité professionnelle ou des activités complexes. Les fonctions atteintes prioritairement, à savoir les domaines de l’attention, des fonctions exécutives et de la mémoire du travail, étaient des fonctions cognitives indispensables à l’apprentissage de la nouveauté et au maintien d’une flexibilité mentale qui permettaient une adaptation aux situations changeantes. Dans le cadre de la vie privée, ce déficit cognitif se matérialisait par des habitudes empreintes de routine, avec un désintérêt et un manque de motivation à élargir son périmètre de vie, d’investir de nouveaux loisirs et de nouveaux espaces sociaux. Sur le plan professionnel, il se manifestait par des difficultés à l’apprentissage de la nouveauté. Ce déficit cognitif, en particulier relatif aux fonctions</w:t>
      </w:r>
    </w:p>
    <w:p>
      <w:r>
        <w:t>- 21 - exécutives, essentielles pour parvenir à modifier un comportement problématique, venait en outre compliquer son trouble anxieux préexistant et altérer ses ressources à tirer un bénéfice des suivis psychiatriques et psychothérapeutiques qu’elle entreprenait, y compris ceux visant à limiter sa consommation d’alcool. Les ressources de son environnement, qui se résumaient à sa mère, qui souffrait d’une maladie d’Alzheimer et qui était en attente de placement en EMS, et à son ex- compagnon, qui présentait lui-même une problématique de consommation abusive d’alcool, ne pouvaient être considérés comme un soutien à un projet d’abstinence (cf. complément d’expertise p. 9). Les expertes ont également souligné la méconnaissance de l’expert V.________ de l’atteinte cognitive de la recourante ce qui l’avait amené à interpréter faussement la difficulté de la recourante à s’inscrire dans un traitement psychiatrique pourtant bien conduit ou les ressources dont elle disposait pour affronter le quotidien au-delà de son périmètre de vie très restreint. Elles ont par ailleurs expliqué pour quels motifs le test des matrices de Raven réalisé par l’expert V.________ n’était pas suffisant pour mettre en évidence l’atteinte des fonctions cognitives que présentait la recourante. cc) En définitive, les expertes J.________ et P.________, sur la base de l’examen détaillé des indicateurs jurisprudentiels, parviennent à la conclusion que la recourante présente une dépendance de longue date à l’alcool et une atteinte neurocognitive significative, dont le tableau touchant les fonctions exécutives, attentionnelles et de la mémoire, renvoie prioritairement à une probable étiologie toxique alcoolique. Les répercussions fonctionnelles de cette dépendance à l’alcool sont qualifiées de graves, entraînant une altération significative des compétences cognitives de la recourante et une majoration du trouble anxieux dans les périodes de consommations abusives. Cette atteinte cognitive altère les ressources psychiques de la recourante pour élaborer ses troubles et développer des stratégies pour limiter l’atteinte à la santé, y compris sur le plan addictologique. S’il n’est pas contesté que la recourante recherche de l’aide, elle ne « parvient pas à exploiter cette aide au-delà de quelques comportements simples qu’elle peut mettre en œuvre pour limiter ses angoisses (marcher rapidement, faire des mandalas, rentrer à son</w:t>
      </w:r>
    </w:p>
    <w:p>
      <w:r>
        <w:t>- 22 - domicile) et, à ses dires, une meilleure limitation quantitative de ses abus d’alcool ». Ces éléments sont suffisamment graves au point de générer une invalidité. En définitive, elles estiment que la capacité de travail de l’intéressée est nulle à tout le moins depuis le mois de mai 2018 en se fondant sur la description clinique faite par les intervenants de l’équipe mobile de psychiatrie et de la Fondation S.________ et depuis le 16 août 2018 selon les arrêts de travail rédigés par le Dr C.________. Cette évaluation de la capacité totale de travail retenue par les expertes judiciaires, reposant sur des investigations complètes et minutieuses, apparaît au demeurant cohérente avec l’anamnèse personnelle, médicale et professionnelle de la recourante. C’est d’autant plus vrai qu’il apparaît, au vu de l’analyse globale du dossier, qu’il existe une réelle interdépendance dans les diagnostics posés, la consommation d’alcool étant à la fois la cause et la conséquence de ses troubles anxieux, consommation que la recourante est incapable de reconnaître comme néfaste compte tenu de ses troubles cognitifs, dont l’étiologie est vraisemblablement dû, en tout en cas en partie, à la consommation d’alcool et aux troubles anxieux. Il convient dès lors d’accorder une pleine valeur probante à l’expertise du 26 juin 2023 des Dres J.________ et P.________ et au rapport de la neuropsychologue N.________ du 12 mai 2023, ainsi qu’à leur complément respectif. dd) Pour le reste, l’avis SMR du 6 février 2024 ne permet pas de remettre en cause les conclusions des expertes. Tout d’abord, les diagnostics retenus et leur évaluation de la capacité de travail ont été motivés de manière convaincante, relevant en particulier les interactions entre les troubles cognitifs établis par la neuropsychologue et les diagnostics du registre psychiatrique qu’elles ont retenus. Il convient ensuite de relever que des difficultés d’attention, de mémorisation et de concentration ont déjà été constatées par la Dre L.________ et E.________, dans leur rapport du 10 juin 2021, ce qui rend d’autant plus crédible les résultats de l’évaluation neuropsychologique. De plus, non seulement il est erroné d’affirmer que le diagnostic d’agoraphobie avec trouble panique n’a jamais été mentionné dans le dossier auparavant (cf. rapport du 13 novembre 2019 du Dr C.________ et du 23 mars 2020 et 10 juin 2021</w:t>
      </w:r>
    </w:p>
    <w:p>
      <w:r>
        <w:t>- 23 - de la Dre L.________ et E.________), mais un tel argument n’est de surcroît pas pertinent, la désignation d’un expert ayant précisément pour but de renseigner celui qui le mandate sur des questions exigeant des compétences spéciales, ce qui inclut de facto la faculté de s’écarter des avis émis par d’autres spécialistes. En outre, il n’est pas contesté par les expertes, ni d’ailleurs par la recourante, que cette dernière pouvait effectuer ses tâches quotidiennes de manière autonome. Cela étant, en tant que le quotidien de la recourante est empreint d’habitudes routinières particulièrement marquées afin d’éviter des angoisses, il ne saurait être représentatif de sa capacité d’exercer une activité lucrative sur le marché primaire de l’emploi, lequel est exigeant et nécessite indubitablement des déplacements, des contacts sociaux et des facultés d’adaptation, ce dont la recourante ne dispose plus. Ainsi, l’exercice d’une activité, même impliquant peu de rapports sociaux comme le propose l’intimé, n’apparaît pas exigible. Quant aux critiques du SMR relatives au déroulement de l’examen neuropsychologique, il convient de relever que la psychologue a noté l’absence de signe d’imprégnation alcoolique lors des séances d’évaluation neuropsychologique (cf. compléments neuropsychologiques, réponse au point 6). Quoi qu’il en soit, la question de l’alcoolisation est une problématique centrale dans la symptomatologie de la recourante, si bien qu’elle a dûment été prise en compte par les expertes et la neuropsychologue. Enfin, bien que la Dre Q.________ a discuté du dossier avec un collègue psychiatre, il n’en demeure pas moins que l’avis de ce dernier ne saurait se substituer à une expertise complète répondant aux réquisits jurisprudentiels. Par conséquent, il y a lieu de se référer à l’évaluation de la capacité de travail opérée par les expertes J.________ et P.________ et de retenir que la recourante dispose d’une capacité de travail nulle dans toute activité à tout le moins dès le mois de mai 2018.</w:t>
      </w:r>
    </w:p>
    <w:p>
      <w:r>
        <w:rPr>
          <w:b/>
        </w:rPr>
        <w:t>E. 8</w:t>
      </w:r>
    </w:p>
    <w:p>
      <w:r>
        <w:t>a) En définitive, vu la demande qu’elle a déposée le 11 septembre 2019, la recourante a droit à une rente entière d’invalidité dès le 1er mars 2020, compte tenu d’un délai de carence de six mois à compter du dépôt de la demande (art. 29 al. 1 LAI).</w:t>
      </w:r>
    </w:p>
    <w:p>
      <w:r>
        <w:t>- 24 -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Cette indemnité couvre au moins ce qui aurait dû être versée au titre de l’assistance judiciaire, étant rappelé à la recourante que par courrier du 30 janvier 2023, [...], l’ancien mandataire de l’intéressée, avait également produit un résumé chiffré de l’activité déployée dans cette affaire, dans l’éventualité où des dépens seraient accordés.</w:t>
      </w:r>
    </w:p>
    <w:p>
      <w:r>
        <w:rPr>
          <w:b/>
        </w:rPr>
        <w:t>E. 9</w:t>
      </w:r>
    </w:p>
    <w:p>
      <w:r>
        <w:t>Reste à déterminer s’il se justifie de mettre les frais de l’expertise judiciaire à la charge de l’office intimé. a)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w:t>
      </w:r>
    </w:p>
    <w:p>
      <w:r>
        <w:t>- 25 -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b) En l’occurrence, la Cour de céans s’est vu contrainte de mettre en œuvre une expertise judiciaire auprès des Dres J.________ et P.________ en raison des nombreuses lacunes de l’expertise réalisée par le Dr V.________ (cf. supra consid. 7b). Dans ces conditions, il se justifie de mettre à la charge de l’intimé la totalité des frais qui ont été nécessaires à la mise en œuvre de l’expertise judiciaire, y compris l’évaluation neuropsychologique et leur complément respectif, soit un total de 13'888 fr. 65 (9'480 fr. + 1'615 fr. 10 + 2'250 fr. + 543 fr. 55) conformément aux notes d’honoraires produites par les Dres J.________ et P.________ ainsi que par N.________.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