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ZD22.019541 vom 11. Dezember 2023</w:t>
      </w:r>
    </w:p>
    <w:p>
      <w:r>
        <w:t>VD Tribunal cantonal, 2023-12-11, FR</w:t>
      </w:r>
    </w:p>
    <w:p>
      <w:r>
        <w:rPr>
          <w:b/>
        </w:rPr>
        <w:t xml:space="preserve">Quelle: </w:t>
      </w:r>
      <w:r>
        <w:t>https://mcp.opencaselaw.ch/entscheid/vd_gerichte_ZD22.019541</w:t>
      </w:r>
    </w:p>
    <w:p>
      <w:r>
        <w:t>FR: VD_GERICHTE ZD22.019541 du 11 décembre 2023</w:t>
      </w:r>
    </w:p>
    <w:p>
      <w:r>
        <w:t>IT: VD_GERICHTE ZD22.019541 del 11 dicembre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- 9 -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Il découle de l’art. 61 let. c LPGA que le juge apprécie librement les preuves médicales, en procédant à une appréciation</w:t>
      </w:r>
    </w:p>
    <w:p>
      <w:r>
        <w:t>- 10 -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rPr>
          <w:b/>
        </w:rPr>
        <w:t>E. 4</w:t>
      </w:r>
    </w:p>
    <w:p>
      <w:r>
        <w:t>a) En l’espèce, il convient d’examiner si, par sa décision du 14 avril 2022, l’OAI était fondé à refuser le versement de prestations de l’assurance-invalidité, au motif que la recourante bénéficiait d’une capacité de travail entière depuis tout temps dans une activité adaptée à</w:t>
      </w:r>
    </w:p>
    <w:p>
      <w:r>
        <w:t>- 11 - ses limitations fonctionnelles (pas d’effort de soulèvement de plus de 5 kg à partir du sol, pas de porte-à-faux du buste, port de charge proche du corps limité à 15 kg, pas d’activité en position debout immobile, piétinement limité, environnement très chaud à éviter, avoir la possibilité de travailler avec une contention veineuse des membres inférieurs) avec un degré d’invalidité qui était, après comparaison des revenus, de 9,8 %. Cette analyse se fondait en particulier sur les conclusions de l’expertise pluridisciplinaire (médecine interne, rhumatologie et psychiatrie) confiée par l’administration au H.________, dont le rapport a été rendu le 28 septembre 2021. b) Dans le cadre du mandat d’expertise administrative, la recourante a été examinée à trois reprises par les experts (les Drs X.________, D.________, et U.________), lesquels ont réalisé également des examens paracliniques. Sur la base d’une analyse complète et fouillée du dossier, les experts ont, de manière consensuelle, posé les diagnostics incapacitants de lombalgie chronique sans irradiation sur discopathie et arthrose postérieure (M54.5), d’insuffisance veineuse chronique des membres inférieurs, sous diurétiques depuis deux ans (I87.2), de status après trois thromboses veineuses profondes spontanées des membres inférieurs, du côté gauche (en 2004 ?), du côté droit en 2014 et côté gauche en avril 2018 (sous Aspirine Cardio 100 mg en prévention au long cours I80.9), et de status après varicectomie gauche à deux reprises. Sans répercussion sur la capacité de travail, les experts ont retenu les diagnostics de persistance d’une douleur du gros orteil droit après fracture récente (dont la dernière radio constate aucun trait de fracture, mais simplement une légère arthrose métatarso-phalangienne), de pied plat valgus, de fibromyalgie (M79.7), d’asthme (traitement en réserve, pas de dyspnée continue, J45), d’allergie (T78.4), d’obésité avec BMI (Body Mass Index) à 34,6 (E66.00) et de troubles mixtes de la personnalité (F60.9). Dans leur appréciation consensuelle de la situation, les experts ont notamment émis les considérations suivantes (expertise, volet consensuel, pp. 4 – 5) : “4.3. Constatations/diagnostics d’éléments ayant une incidence sur les capacités fonctionnelles</w:t>
      </w:r>
    </w:p>
    <w:p>
      <w:r>
        <w:t>- 12 - Limitations fonctionnelles en rhumatologie : Pas d’effort de soulèvement de plus 5 kg à partir du sol, pas de porte-à-faux du buste, port de charge proche du corps limité à 15 kg. L’insuffisance veineuse chronique des membres inférieurs entraîne des limitations fonctionnelles : pas d’activité en position debout immobile, piétinement limité, et environnement très chaud à éviter. Possibilité de travailler avec une contention veineuse des membres inférieurs. Du point de vue psychiatrique : des difficultés relationnelles, l’hostilité, l’agressivité, la difficulté de gestion des émotions, les difficultés d’autonomie, l’hypersensibilité au stress.</w:t>
      </w:r>
    </w:p>
    <w:p>
      <w:r>
        <w:rPr>
          <w:b/>
        </w:rPr>
        <w:t>E. 4.4</w:t>
      </w:r>
    </w:p>
    <w:p>
      <w:r>
        <w:t>Évaluation d’aspects liés à la personnalité pouvant avoir une incidence Le trouble de personnalité de l’expertisée la rend dépendante à son environnement et elle ne semble pas avoir les ressources psychiques pour garder un travail à l’extérieur du domicile si son propre mari ne travaille pas. Elle rencontre des difficultés relationnelles, en raison de ses troubles pour faire face à l’hostilité, l’agressivité, des difficultés d’autonomie, une hypersensibilité au stress. La difficulté de gestion des émotions se traduit, dans les antécédents, par des prises d’alcool, du bing-eating et des abus médicamenteux aigus en 2008, 2010 et 2011, avec une hospitalisation en 2011 dans un contexte de conflit conjugal.</w:t>
      </w:r>
    </w:p>
    <w:p>
      <w:r>
        <w:rPr>
          <w:b/>
        </w:rPr>
        <w:t>E. 4.5</w:t>
      </w:r>
    </w:p>
    <w:p>
      <w:r>
        <w:t>Évaluation des ressources et des facteurs de surcharge Il s’agit d’une expertisée qui n’assure aucun geste de la vie quotidienne cela étant effectué essentiellement par son mari ou sa fille. Cette expertisée n’a pas de formation professionnelle, elle ne lit, ni ne parle le français. Ses relations avec ses proches semblent marquées par une dépendance réciproque et mutuelle qui nuit à chacun. Le retentissement de la fibromyalgie est de 7/12 ce qui est modéré. Ses ressources sont essentiellement familiales. Elle a montré par ailleurs une force de travail et des capacités d’adaptation remarquables puisqu’en 10 ans elle est parvenue à tripler ses revenus chez le même employeur. Elle sort pour marcher autour de son immeuble, joue régulièrement sur sa tablette et lit les news portugaises tous les jours. Son attitude n’est pas en adéquation avec la pauvreté des éléments objectifs retrouvés et la boiterie n’est pas non plus justifiée par les constatations. L’enquête ménagère, de février 2019, ne révèle un empêchement que de 6,5 %.</w:t>
      </w:r>
    </w:p>
    <w:p>
      <w:r>
        <w:rPr>
          <w:b/>
        </w:rPr>
        <w:t>E. 4.6</w:t>
      </w:r>
    </w:p>
    <w:p>
      <w:r>
        <w:t>Contrôle de cohérence Nous avons constaté, comme les principaux intervenants du dossier, le manque de cohérence entre les constatations objectives et l’attitude de l’expertisée. L’examen clinique a montré une forte</w:t>
      </w:r>
    </w:p>
    <w:p>
      <w:r>
        <w:t>- 13 - résistance et un manque de coopération. Une douleur alléguée à 8/10 ne peut s’expliquer par une atteinte dégénérative modérée et une fracture du gros orteil guérie. Par ailleurs, la consommation d’antalgiques ne correspond pas à une telle douleur. À l’examen de ce jour, sont mis en évidence des traits de personnalité borderline décrits au moins depuis 2008 et des douleurs physiques garantissant une homéostasie familiale dans un contexte où le mari est en arrêt de travail et est lui-même en attente d’une rente AI. Le fonctionnement familial est de type clanique, relativement coupé du monde extérieur. Ceci est congruent avec la faible collaboration de l’expertisée retrouvée du point de vue de la rhumatologie, ses propos vagues et sa manière très floue et lacunaire dont elle évoque le passé qui rendent ses propos peu crédibles. Les douleurs de l’expertisée semblent servir à maintenir un certain équilibre au sein du couple. Les plaintes sont cohérentes et les atteintes plausibles du point de vue de la médecine interne.” c) La lecture des conclusions circonstanciées de l’expertise pluridisciplinaire du H.________ permet de se convaincre que les points litigieux ont fait l’objet d’examens sérieux et fouillés de la part des experts. Il n’y a en l’occurrence aucun motif de s’écarter des conclusions claires et motivées de l’expertise, dont le rapport du 28 septembre 2021 remplit manifestement les réquisits jurisprudentiels pour se voir reconnaître une pleine valeur probante (cf. consid. 3e-f supra). Ce rapport est en effet le fruit d’un travail méticuleux, comportant trois examens cliniques, des examens paracliniques, ainsi qu’une analyse complète et fouillée du dossier. Les diagnostics retenus sont dûment étayés, après discussion des résultats recueillis aux divers tests réalisés et des autres avis médicaux versés au dossier. Reposant sur des investigations complètes, les répercussions fonctionnelles des différents troubles diagnostiqués lege artis sur la capacité de travail emportent la conviction. Ainsi ces spécialistes convainquent entièrement quant aux conclusions prises relatives aux limitations fonctionnelles et à la capacité de travail exigible. d) De son côté, la recourante ne fait pas mention d’éléments objectivement vérifiables qui auraient été ignorés dans le cadre de l’expertise pluridisciplinaire conduite dans le second semestre 2021, ni même ne produit de rapports médicaux pertinents pour en remettre en</w:t>
      </w:r>
    </w:p>
    <w:p>
      <w:r>
        <w:t>- 14 - cause la valeur probante ou le bien-fondé. Elle oppose en effet uniquement l’avis de ses médecins traitants qui seraient favorables à une opération de la colonne vertébrale et invoque présenter un trouble somatoforme douloureux ainsi qu’une fibromyalgie qui seraient à investiguer. Or il s’agit au plus d’un simple avis divergeant étant rappelé que, dans le cadre de l’accomplissement de leur mandat, les experts ont pris en compte l’ensemble des rapports des médecins consultés (cf. expertise, synthèse du dossier [Annexe 4], p. 30 s.). Il reste que la recourante spécule tout au plus sur les tenants de son cas, en particulier sur le versant psychiatrique, mais sans toutefois parvenir à convaincre faute de remise d’un rapport médical à l’appui de ses allégations de partie. Elle a d’ailleurs pu faire la preuve des ressources adaptatives constatées par l’expertise pluridisciplinaire du H.________ pour s’intégrer et évoluer dans le monde du travail de 2009 à 2017. e) Des conclusions du rapport d’expertise pluridisciplinaire du H.________, il ressort que si l’état de santé défaillant entrave l’exercice de l’activité habituelle depuis le mois de janvier 2017, la recourante conserve néanmoins une capacité de travail entière, depuis toujours, dans une activité adaptée à ses limitations fonctionnelles.</w:t>
      </w:r>
    </w:p>
    <w:p>
      <w:r>
        <w:rPr>
          <w:b/>
        </w:rPr>
        <w:t>E. 5</w:t>
      </w:r>
    </w:p>
    <w:p>
      <w:r>
        <w:t>S’agissant du calcul du taux d’invalidité (en l’occurrence 9,8 %) et en particulier des éléments économiques retenus par l’intimé dans le cadre de la comparaison des revenus, la recourante n’a soulevé aucun grief à cet égard, de sorte qu’il n’y a pas lieu de s’écarter des chiffres pris en compte par l’OAI. Le degré d’invalidité de 9,8 %, inférieur au seuil de 40 %, ne donne donc pas droit à une rente de l’assurance-invalidité.</w:t>
      </w:r>
    </w:p>
    <w:p>
      <w:r>
        <w:rPr>
          <w:b/>
        </w:rPr>
        <w:t>E. 6</w:t>
      </w:r>
    </w:p>
    <w:p>
      <w:r>
        <w:t>a) Pour le surplus, la recourante déplore l’absence de mesures d’ordre professionnel en sa faveur. b) Selon l’art. 8 al. 1 LAI, les assurés invalides ou menacés d’une invalidité (art. 8 LPGA) ont droit à des mesures de réadaptation pour</w:t>
      </w:r>
    </w:p>
    <w:p>
      <w:r>
        <w:t>- 15 -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Le seuil minimum fixé par la jurisprudence pour ouvrir le droit à une mesure de reclassement est une diminution de la capacité de gain de 20 % environ (ATF 139 V 399 consid. 5.3). c) En l’occurrence, la recourante présente un degré d’invalidité largement inférieur à 20 %, de sorte qu’elle ne saurait prétendre à un reclassement professionnel de la part de l’OAI (ATF 139 V 399 consid. 5.3). En outre, une mesure d’aide au placement lui a été offerte le 14 avril 2022 mais a ensuite été déclinée par sa bénéficiaire invoquant son état de santé déficient. Il suit de là que toute mesure de nature à maintenir ou à améliorer la capacité de gain de la recourante ne doit pas lui être allouée car une telle mesure serait d’emblée vouée à l’échec selon toute vraisemblance (TF I 388/06 du 25 avril 2007 consid. 7.2 ; TFA I 660/02 du 2 décembre 2002 consid. 2.1).</w:t>
      </w:r>
    </w:p>
    <w:p>
      <w:r>
        <w:rPr>
          <w:b/>
        </w:rPr>
        <w:t>E. 7</w:t>
      </w:r>
    </w:p>
    <w:p>
      <w:r>
        <w:t>Le dossier est au demeurant complet et permet à la Cour de statuer en connaissance de cause. Un complément d’instruction apparaît ainsi inutile et la requête formulée en ce sens par la recourante dans son mémoire complémentaire du 24 mai 2022 – soit la réalisation d'une nouvelle expertise psychiatrique judicaire, subsidiairement d’un complément d’expertise psychiatrique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t>- 16 -</w:t>
      </w:r>
    </w:p>
    <w:p>
      <w:r>
        <w:rPr>
          <w:b/>
        </w:rPr>
        <w:t>E. 8</w:t>
      </w:r>
    </w:p>
    <w:p>
      <w:r>
        <w:t>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Ana Rita Perez peut prétendre une équitable indemnité pour son mandat d’office. Après examen de la liste des opérations déposée le 21 septembre 2023, compte tenu de l’importance et de la complexité du litige, il convient d’arrêter l’indemnité à 1’202 fr. 90, débours et TVA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