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ZD22.019124 vom 3. November 2022</w:t>
      </w:r>
    </w:p>
    <w:p>
      <w:r>
        <w:t>VD Tribunal cantonal, 2022-11-03, FR</w:t>
      </w:r>
    </w:p>
    <w:p>
      <w:r>
        <w:rPr>
          <w:b/>
        </w:rPr>
        <w:t xml:space="preserve">Quelle: </w:t>
      </w:r>
      <w:r>
        <w:t>https://mcp.opencaselaw.ch/entscheid/vd_gerichte_ZD22.019124</w:t>
      </w:r>
    </w:p>
    <w:p>
      <w:r>
        <w:t>FR: VD_GERICHTE ZD22.019124 du 3 novembre 2022</w:t>
      </w:r>
    </w:p>
    <w:p>
      <w:r>
        <w:t>IT: VD_GERICHTE ZD22.019124 del 3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(art. 38 al. 4 let. a LPGA et 60 al. 2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 singulièrement le degré d’invalidité à la base de cette prestation.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- 7 -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- 8 -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a) En l’occurrence, le recourant a fait l’objet d’examens complets sur les plans de la médecine interne, de la rhumatologie et de la psychiatrie auprès de D.________ SA, dont les conclusions ont été suivies par l’intimé pour rendre la décision litigieuse. Aux termes de celle-ci, il disposait, malgré les atteintes à la santé qu’il présentait, d’une capacité de travail entière dans une activité adaptée dans le domaine industriel léger (montage, contrôle ou surveillance d’un processus de production, ouvrier à l’établi dans des activités simples et légères, ouvrier dans le conditionnement). b) Sur le plan somatique, le recourant présente essentiellement des problèmes au dos, à la hanche droite et aux genoux. aa) Dans son rapport du 22 novembre 2021, le Dr H.________ a relevé que le recourant se plaignait de douleurs lombaires irradiant en ceinture et de sa hanche droite. Les douleurs augmentaient avec le mouvement, en particulier lorsqu’il s’agissait de ramasser des objets par terre et avec le port de charges. Il souffrait également des genoux avec des sensations de lâchage et de manque de force, tout en faisant état de</w:t>
      </w:r>
    </w:p>
    <w:p>
      <w:r>
        <w:t>- 9 - douleurs à la descente des escaliers. Une IRM lombaire effectuée en janvier 2020 a mis en évidence une inflammation épidurale modérée dans le contexte d’un status après laminectomie L5-S1 gauche ; il y avait aussi un débord discal pouvant irriter les racines L5 de manière bilatérale. Au niveau de la hanche droite, l’IRM de janvier 2020 a révélé des lésions dégénératives avec images géodiques sous-chondrales, particulièrement sur la tête fémorale droite et la présence d’un épanchement intra- articulaire. Concernant les genoux, l’IRM bilatérale réalisée dans le cadre de l’expertise a conclu à l’existence d’une chondropathie dégénérative bilatérale. L’expert a ainsi retenu des lombalgies chroniques sur dysbalance musculaire sans radiculalgie irritative, une coxalgie droite sur coxarthrose débutante et une gonalgie bilatérale prédominant à droite sur chondropathie tricompartimentale gauche et fémoro-tibiale droite. Hormis les atteintes mentionnées, le reste de l’examen clinique rhumatologique était normal. Ainsi, le rachis dorsal et cervical était sans particularité, de même que le bassin et les membres supérieurs. Tel était également le cas des coudes, des mains, des poignets, des chevilles et des pieds. Quant à l’examen neurologique, il était normal (pas de syndrome pyramidal, réflexes présents et symétriques aux quatre membres, manœuvre de Lasègue négative, marche sans anomalie et pas de problème de sensibilité), de même qu’il n’y avait pas de critère en faveur d’une fibromyalgie ou d’un rhumatisme inflammatoire. S’agissant de la cohérence et de la plausibilité, le Dr H.________ a fait état de quelques divergences entre l’importance des symptômes décrits par l’assuré et son comportement en situation d’examen clinique ainsi que d’éléments d’autolimitation sans toutefois que ceux-ci n'atteignent le seuil d’une exagération ou d’une simulation. Cela étant, si la profession habituelle de magasinier n’était plus exigible, l’expert a estimé que le recourant disposait – malgré l’existence de diagnostics ayant une incidence sur sa capacité de travail (syndrome lombo-vertébral chronique sur discopathies dégénératives et syndrome de dysbalance musculaire ; coxarthrose droite débutante ; chondropathie de grade maximal IV étendue en zone d’appui au versant postérieur du condyle</w:t>
      </w:r>
    </w:p>
    <w:p>
      <w:r>
        <w:t>- 10 - fémoral médial pour le genou droit et chondropathie tricompartimentale du genou gauche avec déchirure méniscale complexe) – d’une pleine capacité de travail dans une activité adaptée à ses limitations fonctionnelles (alternance des positions assise et debout ; port de charge jusqu’à 10 kg près du corps ; pas d’activité qui demande une position agenouillée ou accroupie prolongée ; pas d’activité sur des échafaudages ou des échelles ; pas d’activité demandant une posture non ergonomique surchargeant le rachis dans sa totalité). bb) Cette appréciation n’est remise en cause par aucune pièce médicale figurant au dossier. Elle n’est au demeurant pas critiquée par le recourant. c) aa) Sur le plan psychique, le Dr A.________ n’a retenu la présence d’aucune pathologie invalidante de ce registre. Durant l’examen clinique, il a noté que l’humeur était neutre. La gestuelle et la mimique étaient expressives, adaptées et congruentes à l’humeur. Il n’y avait pas de ralentissement psychomoteur. Le débit verbal n’était ni ralenti ni accéléré. L’attention et la concentration étaient présentes, stables, et de bonne qualité durant tout l’entretien. Il n’y avait pas de trouble de la mémoire cliniquement décelable. En outre, l’expert n’a observé aucun signe physique en faveur d’un état anxieux, même quand il a confronté l’assuré à des incohérences dans l’anamnèse. Celui-ci n’a pas perdu son sang-froid, ni manifesté aucun signe d’angoisse et ne semblait pas perturbé. Il n’a pas non plus remarqué de fatigue ou de fatigabilité, l’intéressé n’ayant au demeurant pas sollicité de pause. Il n’y avait pas de tristesse pathologique, de détresse à l’évocation des douleurs ni de trouble psychotique. Le Dr A.________ a ensuite expliqué de façon circonstanciée les raisons pour lesquelles il estimait que les diagnostics mentionnés par le Dr R.________ – à savoir un trouble dépressif récurrent (épisode moyen à sévère), un trouble anxieux avec épisode d’anxiété paroxystique et un trouble de la personnalité avec des traits de la personnalité anxieuse et dépendante (cf. rapport du 22 mai 2017 établi à l’attention de l’assureur</w:t>
      </w:r>
    </w:p>
    <w:p>
      <w:r>
        <w:t>- 11 - perte de gain) – ne pouvaient, au regard des éléments anamnestiques à disposition, être retenus. S’agissant du diagnostic de trouble dépressif récurrent, l’expert a expliqué qu’une dépression récurrente était définie par la survenue de plusieurs épisodes dépressifs caractérisés, séparés par une période d’euthymie complète significative. En l’occurrence, le psychiatre traitant avait retenu en octobre 2016 le diagnostic de trouble de l’adaptation avec une réaction mixte, anxieuse et dépressive, dans un contexte de deuil (survenu en juillet 2015). Même en évoquant désormais un épisode dépressif moyen à sévère, il n’avait pas pour autant modifié le traitement antidépresseur introduit en 2015. De même, s’il faisait mention en 2017 d’un deuil pathologique, il n’en demeurait pas moins que l’assuré avait retrouvé une capacité totale de travail deux mois après le décès de sa tante et repris le travail jusqu’à son licenciement en novembre 2016. De plus, l’intéressé s’était annoncé à l’assurance-chômage au mois d’août 2017 pour une durée de deux ans à un taux de 100 %. Ainsi, en l’absence de plusieurs épisodes dépressifs caractérisés, il n’était pas possible de retenir un diagnostic de trouble dépressif récurrent. S’agissant du diagnostic de trouble de la personnalité dépendante, il ne pouvait pas non plus être retenu dans la mesure où l’assuré était resté 13 ans à son dernier poste et n’avait consulté un psychiatre que de manière sporadique en 2003 pour un problème d’alcool. Le Dr A.________ a au demeurant relevé qu’il n’était pas retrouvé de critère en faveur d’une personnalité dépendante chez un assuré qui s’était toujours pris lui-même en charge et vivait seul depuis 2015. Il n’exprimait en outre aucun malaise ou sentiment d’impuissance à être seul, expliquant qu’il n’était pas en couple et avait peu d’amis car il appréciait la solitude. A cela s’ajoutait qu’il effectuait les courses et s’occupait du jardin ainsi que du ménage lorsqu’il habitait avec sa tante. S’agissant enfin d’un trouble spécifique de la personnalité, il convenait également de l’écarter en l’absence de comportements de violence, de capacités d’anticipation réduites, d’éclats de colère et d’attitudes explosives. Il n’y avait pas non plus de scarification, de tentative de suicide ou d’autres gestes auto-agressifs ni d’instabilité émotionnelle chez un assuré ayant occupé le même emploi</w:t>
      </w:r>
    </w:p>
    <w:p>
      <w:r>
        <w:t>- 12 - pendant 13 ans. L’expert a également noté que l’assuré rapportait une anxiété dans une foule alors même qu’il faisait ses courses seul et avait travaillé de nombreuses années dans un grand magasin. Pour les mêmes raisons, la phobie sociale évoquée par le Dr R.________ dans son rapport du</w:t>
      </w:r>
    </w:p>
    <w:p>
      <w:r>
        <w:rPr>
          <w:b/>
        </w:rPr>
        <w:t>E. 6</w:t>
      </w:r>
    </w:p>
    <w:p>
      <w:r>
        <w:t>En définitive, le recours, mal fondé, doit être rejeté et la décision attaquée confirmée.</w:t>
      </w:r>
    </w:p>
    <w:p>
      <w:r>
        <w:rPr>
          <w:b/>
        </w:rPr>
        <w:t>E. 7</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w:t>
      </w:r>
    </w:p>
    <w:p>
      <w:r>
        <w:t>- 17 -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