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ZD22.018308 vom 8. Januar 2024</w:t>
      </w:r>
    </w:p>
    <w:p>
      <w:r>
        <w:t>VD Tribunal cantonal, 2024-01-08, FR</w:t>
      </w:r>
    </w:p>
    <w:p>
      <w:r>
        <w:rPr>
          <w:b/>
        </w:rPr>
        <w:t xml:space="preserve">Quelle: </w:t>
      </w:r>
      <w:r>
        <w:t>https://mcp.opencaselaw.ch/entscheid/vd_gerichte_ZD22.018308</w:t>
      </w:r>
    </w:p>
    <w:p>
      <w:r>
        <w:t>FR: VD_GERICHTE ZD22.018308 du 8 janvier 2024</w:t>
      </w:r>
    </w:p>
    <w:p>
      <w:r>
        <w:t>IT: VD_GERICHTE ZD22.018308 del 8 gennaio 2024</w:t>
      </w:r>
    </w:p>
    <w:p>
      <w:pPr>
        <w:pStyle w:val="Heading2"/>
      </w:pPr>
      <w:r>
        <w:t>Erwägungen</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- 8 - c) La liste des moyens auxiliaires fait l’objet d’une ordonnance du DFI (Département fédéral de l’intérieur ; art. 14 RAI [règlement du 17 janvier 1961 sur l’assurance-invalidité ; RS 831.201]). L’art. 2 al. 1 OMAI (ordonnance du DFI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appareils auditifs en cas de déficience de l’ouïe (ch. 5.07).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d) Conformément au ch. 5.07 de l’annexe de l’OMAI, lorsqu’un appareil auditif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francs pour un appareillage monaural et de 1650 francs pour un appareillage binaural, hors frais de réparation et de piles. e) Le ch. 5.07.2* de l'annexe à l'OMAI précise, s'agissant de la réglementation des cas de rigueur pour les appareillages auditifs, que l'Office fédéral des assurances sociales (ci-après : l’OFAS) définit les cas dans lesquels des forfaits supérieurs aux montants prévus au ch. 5.07 peuvent être versés pour un appareillage monaural ou binaural.</w:t>
      </w:r>
    </w:p>
    <w:p>
      <w:r>
        <w:t>- 9 - Selon le ch. 2053* de la circulaire concernant la remise des moyens auxiliaires par l'assurance-invalidité (ci-après : la CMAI) éditée par l’OFAS, dans sa teneur en vigueur au 1er janvier 2023,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L’assuré doit présenter pour cela à l’office AI une demande d’examen de cas de rigueur. f)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TF 9C_514/2019 du 6 décembre 2019 consid. 3.2.2). A cet égard, l’exigence d’efficacité postulée à hauteur de 10 % en cas d’application d’un chiffre avec astérisque de l’annexe à l’OMAI doit être interprétée largement. Il s’agit d’un taux indicatif duquel on peut s’écarter lorsque les circonstances le justifient et non d’un minimum absolu (ATF 129 V 67 consid. 2.2 ; TF 9C_514/2019 précité consid. 3.2.2 et référence citée).</w:t>
      </w:r>
    </w:p>
    <w:p>
      <w:r>
        <w:rPr>
          <w:b/>
        </w:rPr>
        <w:t>E. 4</w:t>
      </w:r>
    </w:p>
    <w:p>
      <w:r>
        <w:t>a)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w:t>
      </w:r>
    </w:p>
    <w:p>
      <w:r>
        <w:t>- 10 -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w:t>
      </w:r>
    </w:p>
    <w:p>
      <w:r>
        <w:rPr>
          <w:b/>
        </w:rPr>
        <w:t>E. 5</w:t>
      </w:r>
    </w:p>
    <w:p>
      <w:r>
        <w:t>avril 2022 sous la rubrique « Soins aux proches ». En effet, l’assurée n’a, d’une part, jamais soutenu qu’il lui serait trop compliqué, voire impossible, de garder sa petite-fille selon les modalités mentionnées dans ce rapport avec ses anciens appareils auditifs. D’autre part, à la lecture du rapport de l’audioprothésiste accompagnant la demande de cas de rigueur, on constate que l’avantage des appareils auditifs demandés par rapport à un modèle standard réside essentiellement dans une finesse de perception supérieure et une meilleure intelligibilité. Cela signifie donc, a contrario, qu’un appareillage standard offre une correction auditive convenable. Cette dernière permet l’accomplissement des tâches de garde tel que présentées dans le rapport de l’évaluatrice à domicile (surveillance, jeux, promenades, etc.), ce sous réserve de quelques empêchements, lesquels ne peuvent néanmoins pas être entièrement compensés avec les appareils de la marque Signia. c) Dès lors, au vu des précédentes considérations et sur la base du rapport d’enquête ménagère du 5 avril 2022 – lequel constitue indéniablement une base fiable de décision (cf. supra consid. 4a) –, il convient de relever que les appareils de la marque Signia n’améliorent que dans une proportion d’1 % l’autonomie de la recourante dans l’accomplissement de ses activités habituelles, spécifiquement la garde de sa petite fille, soit un taux bien inférieur au taux indicatif de 10 % prévu par la jurisprudence (cf. supra consid. 3f). La décision du 13 avril 2022 de l’intimé de refuser la prise en charge des coûts supplémentaires en vue de l’acquisition de ces moyens auxiliaires, conformément au ch. 5.07.2* de l'annexe à l'OMAI (cas de rigueur), ne prête donc pas le flanc à la critique. d) A cet égard, le fait que la recourante ait prodigué durant plusieurs années une assistance administrative et médicale à ses parents et aidé une amie durant la crise sanitaire – aussi louables que ces actions puissent être – ne permet pas de mettre en cause le constat selon lequel les appareils auditifs demandés en vertu d’un cas de rigueur ne sont pas à</w:t>
      </w:r>
    </w:p>
    <w:p>
      <w:r>
        <w:t>- 13 - même de renforcer son autonomie dans l’accomplissement de ses tâches habituelles dans une proportion d’au moins 10 %. Cette affirmation est d’autant plus valable qu’il ne lui est plus demandé de fournir un tel soutien aujourd’hui, ses parents étant décédés et les mesures sanitaires ayant été levées. e) Au demeurant, le grief de la recourante relatif à l’inégalité de traitement qu’elle subirait en raison de son statut de personne inactive sur le plan professionnel doit être écarté. En effet, comme l’a rappelé le Tribunal fédéral, le fait que les assurés soient traités différemment en droit de l’assurance-invalidité selon qu’ils sont actifs ou non lucrativement trouve son fondement dans une décision de base constitutionnelle et légale contraignante pour les autorités (cf. art. 190 Cst [Constitution fédérale de la Confédération suisse du 18 avril 1999 ; RS 101]), laquelle est également valable dans le domaine des moyens auxiliaires (TF 9C_398/2017 du 14 novembre 2017 consid. 4.3).</w:t>
      </w:r>
    </w:p>
    <w:p>
      <w:r>
        <w:rPr>
          <w:b/>
        </w:rPr>
        <w:t>E. 6</w:t>
      </w:r>
    </w:p>
    <w:p>
      <w:r>
        <w:t>a) En conclusion, le recours, mal fondé, doit être rejeté et la décision rendue le 13 avril 2022 par l'intimé confirmée. b) La procédure de recours en matière de contestations portant sur des prestations de l’assurance-invalidité est soumise à des frais de justice (art. 69 al. 1bis LAI). Il convient de les fixer à 200 fr. et de les mettre à la charge de la partie recourante, vu le sort de ses conclusions. c) Il n’y a pas lieu d’allouer de dépens à la partie recourante, qui n’obtient pas gain de cause (art. 61 let. g LPGA). Par ces motifs, le juge unique p r o n o n c e : I. Le recours est rejeté.</w:t>
      </w:r>
    </w:p>
    <w:p>
      <w:r>
        <w:t>- 14 - II. La décision rendue le 13 avril 2022 par l’Office de l'assurance- invalidité pour le canton de Vaud est confirmée. III. Les frais judiciaires, arrêtés à 200 fr. (deux cents francs), sont mis à la charge d’J.________. IV. Il n’est pas alloué de dépens. Le juge unique : Le greffier : Du L'arrêt qui précède est notifié à : - J.________, - Office de l'assurance-invalidité pour le canton de Vaud, - Office fédéral des assurances sociales (OFAS),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