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ZD22.015183 vom 26. September 2024</w:t>
      </w:r>
    </w:p>
    <w:p>
      <w:r>
        <w:t>VD Tribunal cantonal, 2024-09-26, FR</w:t>
      </w:r>
    </w:p>
    <w:p>
      <w:r>
        <w:rPr>
          <w:b/>
        </w:rPr>
        <w:t xml:space="preserve">Quelle: </w:t>
      </w:r>
      <w:r>
        <w:t>https://mcp.opencaselaw.ch/entscheid/vd_gerichte_ZD22.015183</w:t>
      </w:r>
    </w:p>
    <w:p>
      <w:r>
        <w:t>FR: VD_GERICHTE ZD22.015183 du 26 septembre 2024</w:t>
      </w:r>
    </w:p>
    <w:p>
      <w:r>
        <w:t>IT: VD_GERICHTE ZD22.015183 del 26 settembre 2024</w:t>
      </w:r>
    </w:p>
    <w:p>
      <w:pPr>
        <w:pStyle w:val="Heading2"/>
      </w:pPr>
      <w:r>
        <w:t>Erwägungen</w:t>
      </w:r>
    </w:p>
    <w:p>
      <w:r>
        <w:rPr>
          <w:b/>
        </w:rPr>
        <w:t>E. 3</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w:t>
      </w:r>
    </w:p>
    <w:p>
      <w:r>
        <w:t>- 14 -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141 V 9 consid. 2.3) c) En l’espèce, il n’est pas contesté qu’un changement important dans l’état de santé du recourant est intervenu si bien que c’est à juste titre que l’intimé est entré en matière sur la nouvelle demande formée le 8 février 2018.</w:t>
      </w:r>
    </w:p>
    <w:p>
      <w:r>
        <w:rPr>
          <w:b/>
        </w:rPr>
        <w:t>E. 4</w:t>
      </w:r>
    </w:p>
    <w:p>
      <w:r>
        <w:t>Dans un premier temps, il convient d’examiner le droit du recourant à une rente d’invalidité, plus particulièrement le taux d’invalidité.</w:t>
      </w:r>
    </w:p>
    <w:p>
      <w:r>
        <w:t>- 15 -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w:t>
      </w:r>
    </w:p>
    <w:p>
      <w:r>
        <w:t>- 16 -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w:t>
      </w:r>
    </w:p>
    <w:p>
      <w:r>
        <w:t>- 17 -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Le recourant conteste disposer d’une capacité de travail de 50% dans une activité adaptée tant qu’il n’a pas bénéficié d’un programme de reconditionnement physique et cardiaque. a) A titre liminaire, il convient de retenir que, sur le plan formel, le rapport d’expertise remplit tous les réquisits jurisprudentiels permettant de lui reconnaître une pleine valeur probante. En effet, l’état</w:t>
      </w:r>
    </w:p>
    <w:p>
      <w:r>
        <w:t>- 18 - de santé du recourant a fait l’objet d’un examen circonstancié par l’expert spécialiste, l’expertise a été établie en pleine connaissance des éléments médicaux au dossier et prend en compte les plaintes de l’expertisé. Tant la description du contexte médical que l’appréciation de la situation médicale sont claires et les conclusions médicales sont bien motivées (cf. ATF 134 V 231 consid. 5.1 ; 125 V 351 consid. 3a ; TF 8C_510/2020 du 15 avril 2021 consid. 2.4). b) Le recourant ne formule aucune critique au sujet de l’expertise. En particulier, il n’invoque aucun élément qui aurait été ignoré de l’expert, ne prétend pas non plus que l’expertise serait incomplète, pas plus qu’il ne remet en cause le bien-fondé des conclusions de l’expert. C’est le lieu de rappeler que l’expert a conclu que le recourant disposait d’une capacité de travail de 50% dans une activité adaptée, taux qui a été confirmé par le SMR et, à sa suite par l’intimé. Le recourant, isolant quelques phrases issues du rapport d’expertise, soutient que sa capacité de travail serait nulle tant qu’il ne pourrait pas bénéficier d’un programme de restauration fonctionnelle intensif. Toutefois, ce n’est pas le sens à donner au rapport d’expertise. A cet égard, l’expert a effectivement fait état d’un déconditionnement physique et cardiovasculaire. Plus particulièrement, il a souligné que ceux- ci participaient à décompenser les problèmes lombaires du recourant (cf. rapport d’expertise du 30 septembre 2021 p. 46) et qu’au vu de l’atteinte neurologique chronique et de la situation globale, tant physique que cardiovasculaire, l’activité du recourant était fortement limitée (cf. rapport d’expertise du 30 septembre 2021 p. 47). L’expert a ainsi manifestement tenu compte de ces éléments dans son évaluation de la capacité de travail du recourant lorsqu’il l’a fixée à 50%. Quant au programme de reconditionnement, l’expert a constaté que, sur le plan physiothérapeutique, le recourant n’avait pas bénéficié d’un traitement interdisciplinaire intensif dans le cadre d’un programme rachis. Toutefois, il relève que ce type de programme perd en efficacité avec la durée des symptômes et l’importance du déconditionnement (cf. rapport d’expertise</w:t>
      </w:r>
    </w:p>
    <w:p>
      <w:r>
        <w:t>- 19 - du 30 septembre 2021 p. 47). Par ailleurs, s’il a bien indiqué que la fonction globale pourrait certainement être améliorée par un programme de restauration fonctionnelle de 9 à 12 mois, il a surtout retenu que son impact sur la capacité de travail serait faible (cf. rapport d’expertise du 30 septembre 2021 p. 48). Par ailleurs, l’expert a indiqué que le problème cardio-vasculaire se manifestant par une dyspnée affaiblissait la résistance globale, tout comme l'obésité, la conséquence en étant un allongement du processus de reconditionnement et une limitation des résultats qui pourraient être obtenus (cf. rapport d’expertise du 30 septembre 2021 p. 49). Ainsi, à bien lire le rapport d’expertise, on ne peut en déduire, comme le fait le recourant, que sa capacité de travail serait nulle jusqu’à la mise en place d’un programme de reconditionnement. Bien plutôt, l’expert a relevé, à plusieurs reprises, qu’un tel programme n’aurait qu’un effet limité, en particulier sur la capacité de travail. Par conséquent, l’expert a ainsi tenu compte de l’ensemble des éléments relevés par le recourant lorsqu’il a évalué sa capacité de travail résiduelle dans une activité adaptée, qu’il a fixée à 50%. c) Le recourant fait valoir que la médecin du X.________ avait constaté que son état de santé ne permettait pas d’effectuer un stage. Dans la mesure où un stage d’évaluation n’était pas possible en raison de ses limitations fonctionnelles, il ne pourrait en aller autrement s’agissant d’une activité exigible sur le marché du travail. A cet égard, il ressort du rapport de la Dre K.________ du 25 janvier 2021 que le stage a été reporté « afin que des investigations complémentaires puissent permettre à l’assuré de commencer l’évaluation dans une situation stabilisée (notion de « paralysie » transitoire de l’hémicorps fin 2020, dyspnée/oppression/palpitation aux moindres efforts) » (rapport Dre K.________ du 25 janvier 2021). Contrairement à ce qu’affirme le recourant, ce ne sont pas ses limitations fonctionnelles qui ont motivé le report de son stage, mais la nécessité de procéder à des investigations supplémentaires quant à son état de santé. Or le recourant a fait l’objet de différentes investigations qui ont abouti, selon rapport du Dr L.________ du 16 février 2021, au diagnostic de</w:t>
      </w:r>
    </w:p>
    <w:p>
      <w:r>
        <w:t>- 20 - dyspnée sur obésité et déconditionnement à l'effort, sans élément en faveur d'une maladie respiratoire. Par ailleurs, le recourant présentait un SAS de degré léger à modéré avec ronchopathie sévère. Le Dr L.________ relevait en outre que l’auscultation cardiaque était normale et qu’il n’y avait pas d'adénopathie, d'hippocratisme ou de signe d'insuffisance cardiaque. Pour le surplus, tant le CT-scan abdomino-pelvien du 19 janvier 2021 que la coloscopie du 1er juin 2021 n’ont révélé aucuns autres problèmes médicaux. C’est le lieu de relever que les différents rapports médicaux relatifs à ces examens, tout comme celui de la Dre K.________, ont été portés à la connaissance de l’expert (cf. rapport d’expertise du 30 septembre 2021, p. 8 et 9). C’est ainsi en connaissance de l’avis de la Dre K.________ – antérieur à l’expertise et qui ne faisait que constater que des investigations complémentaires devraient être menées – et surtout des résultats des investigations complémentaires menées, que l’expert a fixé la capacité de travail du recourant à 50% dans une activité adaptée. Le rapport de la Dre K.________ n’est ainsi pas propre à démontrer, comme le voudrait le recourant, que l’expert aurait ignoré des éléments suffisamment pertinents pour remettre en cause le bien-fondé des conclusions de l’expertise, en particulier quant au taux de sa capacité de travail résiduelle dans une activité adaptée. d) Le recourant fait grief au SMR de n’avoir pas fait mention de ses difficultés cardio-vasculaires et de son obésité, qui affaiblissent sa résistance globale. Outre que ces deux pathologies sont mentionnées dans le rapport du SMR du 18 octobre 2021, elles sont surtout mentionnées par l’expert, comme déjà relevé supra, qui en a tenu compte dans son évaluation de la capacité de travail résiduelle, si bien que la critique du recourant tombe à faux. e) Le recourant n’élève aucune critique contre la liste des limitations fonctionnelles retenues par l’expert et, à sa suite, par le SMR et l’intimé, qui est étayée et motivée et dont il n’y a donc pas de motifs de s’écarter.</w:t>
      </w:r>
    </w:p>
    <w:p>
      <w:r>
        <w:t>- 21 - f) Au vu de l’ensemble de ce qui précède, l’intimé était fondé à retenir à la suite de l’expert, que le recourant disposait d’une capacité résiduelle de travail de 50% dans une activité adaptée aux limitations fonctionnelles. g) Le recourant ne conteste pas non plus l’avis du SMR quant à la date du début de son incapacité de travail durable, qu’il a fixée à septembre 2017 en se fondant sur les différents certificats médicaux, notamment d’arrêts de travail, figurant au dossier, se distanciant de l’expertise qui arrêtait, sans véritable explication, le début de l’incapacité à 50%, au 1er août 2018. Au vu de ces éléments, il y a lieu de confirmer que l’incapacité de travail durable a débuté en septembre 2017, comme retenu par le SMR et l’intimé.</w:t>
      </w:r>
    </w:p>
    <w:p>
      <w:r>
        <w:rPr>
          <w:b/>
        </w:rPr>
        <w:t>E. 7</w:t>
      </w:r>
    </w:p>
    <w:p>
      <w:r>
        <w:t>Le recourant conteste le calcul du taux d’invalidité.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 Pour une personne ne disposant d’aucune formation professionnelle dans une activité adaptée, il convient en règle générale de</w:t>
      </w:r>
    </w:p>
    <w:p>
      <w:r>
        <w:t>- 22 -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et les références). e) En résumé, l’intimé a retenu qu’avant l’incapacité de travail à l’origine de la nouvelle demande, le recourant occupait un emploi de magasinier auprès des E.____________ SA à 80%. Son salaire en 2018</w:t>
      </w:r>
    </w:p>
    <w:p>
      <w:r>
        <w:t>- 23 - s’élevait à 47'450 fr. ce qui correspondait à un salaire de 59'312.50 à 100%. Il a retenu ce montant comme revenu sans incapacité. A titre de revenu avec invalidité, il s’est basé sur l’ESS 2018, niveau 1 (salaire mensuel de 5’417 fr.) correspondant à 5’647 fr. 22 pour 41,7 heures de travail hebdomadaire, soit un revenu annuel de 33'883 fr. 34 à 50%. En raison des limitations fonctionnelles et de l’âge du recourant, il a effectué un abattement de 15% sur ce revenu, pour aboutir à un revenu avec incapacité de 28'800 fr. 83 à 50%. Le préjudice économique du recourant s’élevait ainsi à 30'511 fr. 67, équivalent à un degré d’invalidité de 51,44%. Le recourant relève qu’entre le moment de la naissance du droit à la rente en 2018 et le moment où la décision a été rendue en 2022, trois ans se sont écoulés et soutient que, sans atteinte à la santé, son salaire aurait augmenté. Il conteste par ailleurs le taux d’abattement de 15%, prétendant à une déduction de 25%, en raison de ses importantes limitations fonctionnelles. f) A titre liminaire, il convient de souligner que le recourant doit être considéré – comme l’a fait de manière implicite l’intimé – comme actif à 100%. En effet, si le recourant occupait un emploi à 80% avant l’aggravation de son état de santé donnant lieu à la présente procédure, c’est déjà en raison de ses problèmes de santé, comme cela ressort de la décision de l’OAI du 13 février 2012 (cf. supra consid. A. c). Il convient ainsi de retenir que, sans ses problèmes de santé, le recourant occuperait toujours un emploi à 100%. Il y a donc lieu de procéder au calcul du taux d’invalidité selon la méthode générale de comparaison des revenus. g) Concernant l’année de référence pour la comparaison des revenus, il y a lieu de se fonder sur l’année lors de laquelle le droit à la rente a pris naissance, conformément à la jurisprudence constante du Tribunal fédéral. A cet égard, le recourant n’expose pas pour quelle raison l’année où la décision a été rendue devrait être retenue, pas plus qu’il n’indique ce qui justifierait de se distancier de la jurisprudence. En l’occurrence, le délai de carence d’une année a débuté en septembre 2017, le recourant a déposé sa demande en février 2018 et le droit à la</w:t>
      </w:r>
    </w:p>
    <w:p>
      <w:r>
        <w:t>- 24 - rente a donc pris naissance à compter du 1er septembre 2018, ce que ne conteste d’ailleurs pas le recourant. C’est donc à bon droit que l’intimé s’est fondé sur les chiffres relatifs à l’année 2018. h) Le recourant ne formule aucun grief quant aux calculs eux- mêmes, tels qu’opérés par l’intimé. S’agissant du salaire sans invalidité, c’est à juste titre que l’intimé s’est fondé sur le salaire effectivement perçu par le recourant avant son atteinte à la santé en 2018 (47'450 fr.), rapporté à un 100% (59'312 fr. 50). Quant au revenu avec invalidité, l’intimé l’a établi à juste titre à l’aide de données statistiques, dans la mesure où le recourant n’a pas repris d’activité lucrative dans une activité adaptée. La prise en compte du salaire de référence auquel peuvent prétendre les hommes effectuant des tâches physiques ou manuelles simples dans le secteur privé, soit 5’417 fr. conformément à l’ESS 2018 (tableau TA1, niveau de compétence 1), est correcte compte tenu de l’absence de formation professionnelle du recourant et de la typologie des tâches adaptées à ses limitations fonctionnelles. En tenant compte de la moyenne usuelle de travail de 41.7 heures dans les entreprises en 2018, le revenu s’élève, après annualisation, à 67'766 fr 67 pour un 100%, soit 33'883 f. 34 pour un 50%. Le calcul opéré par l’intimé peut ainsi être confirmé. i) Concernant le taux d’abattement, le recourant fait valoir qu’il aurait dû être fixé à 25% en raison de l’importance de ses limitations fonctionnelles. En premier lieu, il y a lieu de relever que l’intimé, outre les limitations fonctionnelles, a tenu compte de l’âge du recourant dans l’examen du taux d’abattement. Or, conformément à la jurisprudence, l’âge n’a en principe pas d’incidence sur le salaire pour les activités de niveau de compétences 1 (TF 8C_687/2018 du 18 avril 2019 consid. 5.3 et</w:t>
      </w:r>
    </w:p>
    <w:p>
      <w:r>
        <w:t>- 25 - les références citées ; 9C_284/2018 du 17 juillet 2018 consid. 2.2.3), si bien que ce critère n’était pas pertinent en l’espèce. Cela étant, une réduction en raison des limitations fonctionnelles n’entre en considération que si, dans un marché du travail équilibré, il n’y a plus un éventail suffisamment large d’activités accessibles à l’assuré (TF 8C_716/2021 du 12 octobre 2022 consid. 6). Or, en l’occurrence, comme l’a retenu l’intimé (cf. calcul du salaire exigible du 20 octobre 2021), il ressort de l’expertise que le recourant n’a pas de limitations fonctionnelles dans le haut du corps. Il pourrait ainsi envisager une reconversion dans l’industrie légère sans port de charge et porte-à- faux importants et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(cf. calcul du salaire exigible du 20 octobre 2021). Ces activités simples représentent un éventail large de postes à la portée du recourant, ce qu’il ne conteste d’ailleurs pas. Dès lors, un taux d’abattement de 15% tient largement compte des limitations fonctionnelles du recourant, en particulier l’alternance des positions et son déconditionnement physique, et n’est, par conséquent, pas critiquable. j) Au vu de l’ensemble de ce qui précède, c’est à juste titre que l’intimé a arrêté le taux d’invalidité du recourant à 51,44%, ouvrant le droit à une demi-rente dès le 1er septembre 2018.</w:t>
      </w:r>
    </w:p>
    <w:p>
      <w:r>
        <w:rPr>
          <w:b/>
        </w:rPr>
        <w:t>E. 8</w:t>
      </w:r>
    </w:p>
    <w:p>
      <w:r>
        <w:t>Le recourant prétend à l’octroi de mesures d’ordre professionnelle. Dans une argumentation pour le moins confuse, il invoque, tout d’abord, la jurisprudence selon laquelle, en cas de réduction ou de suppression d’une rente d’un assuré de plus de 55 ans, celui-ci a droit à des mesures d’ordre professionnel. Après un exposé de quelques éléments théoriques sur le reclassement, il reprend deux passages de l’expertise relevant qu’il n’a pas bénéficié d’un traitement interdisciplinaire intensif dans le cadre d’un programme rachis et qu’il pourrait bénéficier d’un programme de restauration fonctionnelle et de</w:t>
      </w:r>
    </w:p>
    <w:p>
      <w:r>
        <w:t>- 26 - réentraînement physique. Il en conclut que l’aide au placement est insuffisante et que des mesures d’ordre professionnel auraient dû être examinées par l’intimé. Dans la mesure où le recourant n’était pas bénéficiaire d’une rente avant la décision litigieuse, on ne se trouve manifestement pas dans la situation d’une réduction ou d’une suppression de rente – pas plus que dans celle d’une rente échelonnée d’ailleurs – si bien que la jurisprudence invoquée par le recourant sur les assurés de plus de 55 ans ne lui est d’aucun secours. Quant à une éventuelle mesure de reclassement, même si la capacité de gain du recourant a diminué de plus de 20%, ce qui pourrait ouvrir le droit à un reclassement professionnel (art. 17 al. 1 LAI ; ATF 139 V 399 consid. 5.3), il faut constater que de nombreuses activités adaptées à ses limitations fonctionnelles ne nécessitent pas de formation particulière (activités légères visées par l’ESS, skill_level, niveau de compétence 1 ; cf. TF 9C_486/2022 du 17 août 2023 consid. 8). Aucune mesure ne paraît ainsi susceptible d’améliorer sa capacité de gain, étant rappelé que le recourant a été mis au bénéfice d’une aide au placement (à laquelle il a volontairement renoncé). Enfin, on ne distingue pas – et le recourant ne l’expose pas – de quelle mesure de réadaptation relèveraient les programmes de réentraînement physiothérapeutique ou de restauration fonctionnelle, auxquels il prétend. Au vu de ces éléments, c’est à bon droit que l’intimé n’a pas examiné plus avant la question des mesures d’ordre professionnel.</w:t>
      </w:r>
    </w:p>
    <w:p>
      <w:r>
        <w:rPr>
          <w:b/>
        </w:rPr>
        <w:t>E. 9</w:t>
      </w:r>
    </w:p>
    <w:p>
      <w:r>
        <w:t>a) En définitive, le recours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du recourant, qui succombe.</w:t>
      </w:r>
    </w:p>
    <w:p>
      <w:r>
        <w:t>- 27 -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