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ZD22.014431 vom 26. März 2025</w:t>
      </w:r>
    </w:p>
    <w:p>
      <w:r>
        <w:t>VD Tribunal cantonal, 2025-03-26, FR</w:t>
      </w:r>
    </w:p>
    <w:p>
      <w:r>
        <w:rPr>
          <w:b/>
        </w:rPr>
        <w:t xml:space="preserve">Quelle: </w:t>
      </w:r>
      <w:r>
        <w:t>https://mcp.opencaselaw.ch/entscheid/vd_gerichte_ZD22.014431</w:t>
      </w:r>
    </w:p>
    <w:p>
      <w:r>
        <w:t>FR: VD_GERICHTE ZD22.014431 du 26 mars 2025</w:t>
      </w:r>
    </w:p>
    <w:p>
      <w:r>
        <w:t>IT: VD_GERICHTE ZD22.014431 del 26 marzo 2025</w:t>
      </w:r>
    </w:p>
    <w:p>
      <w:pPr>
        <w:pStyle w:val="Heading2"/>
      </w:pPr>
      <w:r>
        <w:t>Erwägungen</w:t>
      </w:r>
    </w:p>
    <w:p>
      <w:r>
        <w:rPr>
          <w:b/>
        </w:rPr>
        <w:t>E. 7</w:t>
      </w:r>
    </w:p>
    <w:p>
      <w:r>
        <w:t>Subsiste la question des frais de l’expertise judiciaire.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en matière d'assurance-invalidité (ATF 139 V 496 consid. 4.3 ; 139 V 349 consid. 5.4), les frais qui découlent de la mise en œuvre d'une expertise judiciaire peuvent le cas échéant être mis à la charge de l'assurance- 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139 V 496 consid. 4 ; 137 V 210 consid. 4.4.2).</w:t>
      </w:r>
    </w:p>
    <w:p>
      <w:r>
        <w:t>- 18 - b) En l'espèce, l’OAI a fondé la décision entreprise sur les conclusions de l’expertise du Dr R.________, dont les lacunes ont été discutées dans le cadre du présent arrêt (cf. consid. 6 supra), de sorte qu’il n’y a pas lieu d’y revenir en détails. Au vu de ces éléments, le SMR aurait dû porter un regard plus critique sur les conclusions de l’expert R.________. Dans ces circonstances, la Cour de céans ne peut que constater que l’intimé a manqué à ses obligations dans le cadre de son instruction, en accordant une pleine valeur probante au rapport d’expertise. L’expertise judiciaire a servi à pallier les manquements commis dans la phase d’instruction administrative. Dans ces conditions, il est justifié de mettre à charge de l’OAI la totalité des frais qui ont été nécessaires à la mise en œuvre de l’expertise judiciaire, à savoir les honoraires de l’expert, par 8'825 fr, conformément à sa note d’honoraires reçue le 17 juillet 2024.</w:t>
      </w:r>
    </w:p>
    <w:p>
      <w:r>
        <w:rPr>
          <w:b/>
        </w:rPr>
        <w:t>E. 8</w:t>
      </w:r>
    </w:p>
    <w:p>
      <w:r>
        <w:t>a) Vu ce qui précède, le recours doit être admis et la décision attaquée annulée, la cause étant renvoyée à l’intimé pour qu’il alloue au recourant une rente entière d’invalidité à partir du 1er juin 2020 et fixe le montant de l’arriéré de prestations notamment après coordination avec les indemnités journalières déjà versées.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Les frais de l’expertise judiciaire par 8'825 fr. sont mis à la charge de l’intimé (art. 45 LPGA, cf. consid. 7 supra). d) Le recourant obtient gain de cause et a droit à une indemnité de dépens à titre de participation aux honoraires de son conseil (art. 61 let. g LPGA). Me Gillard a déposé deux listes des opérations datées des 3 juillet et 24 octobre 2024. La liste du 3 juillet 2024, couvrant la période du 28 mars 2022 au 3 juillet 2024, fait état de 37,87 heures réalisées par Me Jeanrenaud, avocate-stagiaire, 28,48 heures réalisées par</w:t>
      </w:r>
    </w:p>
    <w:p>
      <w:r>
        <w:t>- 19 - Me Nseka, avocat-stagiaire, et 1,80 heures réalisées par Me Gillard. Cette liste ne peut pas être intégralement suivie. On constate en premier lieu que plusieurs opérations ne sont pas en rapport avec la présente cause, notamment les opérations « volet aide sociale » qui devront être retranchées. Le temps consacré à la préparation de la demande d’assistance judiciaire (plus de 4 heures) et à la confection de bordereaux ne saurait être pris en compte à titre d’activité déployée par l’avocat, s’agissant de pur travail de secrétariat (CACI 20 septembre 2024/428). On précisera, pour autant que de besoin, que l’assuré était alors au bénéfice du revenu d’insertion, de sorte que l’établissement du formulaire s’en trouvait facilité. Il y a également lieu de retrancher le temps consacré à la prise de connaissance de la décision d’octroi d’assistance judiciaire, celui- ci n’impliquant qu’une lecture brève ne dépassant pas les quelques secondes pour un avocat correctement formé (Juge délégué CACI 2 octobre 2017/437 consid. 7.1). S’agissant de l’établissement de la réplique, il ressort de la liste des opérations que 14,25 heures ont été consacrées en août 2022 ainsi que 17,77 heures en novembre 2022, ce qui apparait excessif pour une écriture de 9 pages comprenant une page de garde et une page pour une table des matières, de sorte qu’il y a lieu de ramener ces opérations à 3 heures. La seconde liste du 24 octobre 2024, couvrant la période du 4 juillet au 24 octobre 2024, fait état de 0,40 heure réalisée par Me Nseka, avocat-stagiaire, 15,20 heures réalisées par Me Cottier, avocat-stagiaire, et 0,40 heure réalisée par Me Gillard. Cette liste ne peut pas non plus être suivie dans son intégralité. Il convient de retirer l’opération du 12 août 2024 totalisant 1,90 heures, consacrée à la rédaction d’un courrier relatif à la demande de taxation intermédiaire sollicitée par le mandataire, cette opération ne relevant pas de la défense des intérêts du recourant. Les opérations concernant [...] ne sont pas en lien avec la présente cause, de sorte qu’elles ne peuvent être indemnisées. Enfin, les opérations des 19 et 29 juillet 2024 pour la prise de connaissance du rapport d’expertise (2,50 heures) et celles des 13, 14, 26 août, 10 et 22 septembre 2024 (5,80 heures) pour la rédaction de déterminations à propos du rapport d’expertise apparaissent excessives, l’expertise reconnaissant une totale incapacité de travail au recourant. Pour ces opérations, un maximum de 3 heures sera retenu. Il apparaît</w:t>
      </w:r>
    </w:p>
    <w:p>
      <w:r>
        <w:t>- 20 - ainsi que de manière générale, l’activité déployée dépasse ce qu’admet la pratique de la Cour dans l’estimation du temps objectivement requis pour le traitement de cas de ce genre, eu égard à l’importance et à la complexité du litige. Ainsi, tout bien considéré, il convient d’arrêter l’indemnité à 5'000 fr., débours et TVA compris, et de la mettre intégralement à la charge de la partie intimée (art. 10 et 11 TFJDA [tarif du 28 avril 2015 des frais judiciaires et des dépens en matière administrative ; BLV 173.36.5.1]). e) La partie recourante est au bénéfice de l'assistance judiciaire. Le montant des dépens arrêté ci-avant correspond au moins à ce qui aurait été alloué à titre d'indemnité pour le mandat d'office, compte tenu des réductions d’opérations à opérer tel que développées ci-avant et de la date d’octroi de l’assistance judiciaire au 7 juin 2022. Il n'y a donc pas lieu de fixer plus précisément cette indemnité (art. 4 RAJ [règlement cantonal vaudois du 7 décembre 2010 sur l'assistance judiciaire en matière civile ; BLV 211.02.3]).</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