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ZD22.012761 vom 22. Juni 2023</w:t>
      </w:r>
    </w:p>
    <w:p>
      <w:r>
        <w:t>VD Tribunal cantonal, 2023-06-22, FR</w:t>
      </w:r>
    </w:p>
    <w:p>
      <w:r>
        <w:rPr>
          <w:b/>
        </w:rPr>
        <w:t xml:space="preserve">Quelle: </w:t>
      </w:r>
      <w:r>
        <w:t>https://mcp.opencaselaw.ch/entscheid/vd_gerichte_ZD22.012761</w:t>
      </w:r>
    </w:p>
    <w:p>
      <w:r>
        <w:t>FR: VD_GERICHTE ZD22.012761 du 22 juin 2023</w:t>
      </w:r>
    </w:p>
    <w:p>
      <w:r>
        <w:t>IT: VD_GERICHTE ZD22.012761 del 22 giugno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- 15 -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w:t>
      </w:r>
    </w:p>
    <w:p>
      <w:r>
        <w:t>- 16 -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e)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bb) Chez les assurés qui n'exerçaient pas d'activité lucrative avant d'être atteints dans leur santé physique, mentale ou psychique et</w:t>
      </w:r>
    </w:p>
    <w:p>
      <w:r>
        <w:t>- 17 -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27bis RAI; voir par ailleurs ATF 131 V 51 consid. 5.1.2). f)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w:t>
      </w:r>
    </w:p>
    <w:p>
      <w:r>
        <w:t>- 18 -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- 19 -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Conformément au principe général valant en matière d’assurances sociales, l’assuré doit faire tout ce qu’on peut raisonnablement exiger de lui pour atténuer les conséquences de son invalidité. S'agissant de la prise en compte de l'empêchement dans le ménage dû à l'invalidité, singulièrement de l'aide des membres de la famille (obligation de diminuer le dommage), il est de jurisprudence constante que si l'assuré n'accomplit plus que difficilement ou avec un</w:t>
      </w:r>
    </w:p>
    <w:p>
      <w:r>
        <w:t>- 20 - investissement temporel beaucoup plus important certains travaux ménagers en raison de son handicap, il doit en premier lieu organiser son travail et demander l'aide de ses proches dans une mesure convenable (ATF 133 V 504 consid. 4.2 et les références citées ; TF 9C_784/2013 du 5 mars 2014 consid. 3.2).</w:t>
      </w:r>
    </w:p>
    <w:p>
      <w:r>
        <w:rPr>
          <w:b/>
        </w:rPr>
        <w:t>E. 5</w:t>
      </w:r>
    </w:p>
    <w:p>
      <w:r>
        <w:t>a) Il y a lieu tout d’abord de constater que le cancer du sein dont souffre la recourante ne peut pas être pris en considération dans le cadre de la présente procédure. Il ressort en effet des pièces produites au stade du recours que ce trouble n’avait pas encore été diagnostiqué à la date de la décision attaquée du 21 février 2022, puisque la mammographie ayant révélé cette atteinte a été réalisée le 25 juillet 2022. Or le juge des assurances sociales apprécie la légalité des décisions attaquées d’après l’état de fait existant au moment où la décision litigieuse a été rendue (ATF 144 V 210 consid. 4.3.1). Le cancer du sein devra dès lors faire l’objet d’une instruction par l’intimé dans le cadre d’une nouvelle demande de prestations. b) Relevons par ailleurs qu’il n’est pas contesté que la recourante est ménagère à 100 %. Ce constat avait déjà été posé lors de la première demande de prestations, et n’a pas été remis en cause dans la cadre de la deuxième demande. c) En l’occurrence, l’intimé s’est fondé sur l’enquête ménagère réalisée le 28 septembre 2021 au domicile de la recourante pour lui nier le droit à des prestations, compte tenu d’empêchements ménagers arrêtés à 32 %. La recourante fait pour l’essentiel valoir qu’en ne prenant pas en compte « certaines limitations fonctionnelles physiques et psychiques », l’intimé a violé la loi, estimant que les limitations en question ont une incidence sur sa capacité d’exécuter les tâches ménagères. La recourante n’indique toutefois pas les limitations dont il s’agit. Elle liste dans son résumé des faits plusieurs rapports, dont celui du 25 octobre 2018 de son psychiatre traitant, le Dr X.________, celui du 31 octobre 2018 de la Dre M.________, et se réfère également à l’expertise</w:t>
      </w:r>
    </w:p>
    <w:p>
      <w:r>
        <w:t>- 21 - pluridisciplinaire du 24 décembre 2020 mise en œuvre auprès du F.________. Or l’enquêtrice a effectué son évaluation ménagère postérieurement à l’expertise du F.________ et en a tenu compte. Elle a en particulier pris en considération les limitations fonctionnelles retenues par les experts, qu’elle a retranscrites et qui sont les suivantes : « difficultés relationnelles (l’expertisée évite toute rencontre avec son entourage amical en raison de sa phobie de la contamination), bizarrerie du comportement (l’expertisée prend des précautions contre le Covid qui paraissent caricaturales, port de lunettes de protection, port de deux masques l’un sur l’autre), difficulté dans la gestion des émotions avec crises d’angoisse dès que l’expertisée doit s’exposer à des situations qui sortent de sa zone de confort, difficulté à maintenir un rythme diurne/nocturne, avec une heure de coucher très tardive entre 2h00 et 4h00 du matin et une heure de lever en fin de matinée, hypersensibilité au stress, nette diminution de la capacité d’adaptation au changement ». L’enquêtrice a également mentionné tous les diagnostics retenus par les experts du F.________ et confirmés par le SMR, y compris les diagnostics non incapacitants de surcharge pondérale, de statut post curetage utérin, de myopie, de dyslipidémie, de céphalées de tension chronique, de status post cure hernie discale C6-C7 gauche, de syndrome douloureux poly- articulaire, d’arthrose digitale bilatérale, de coxarthrose droite, de syndrome du canal carpien droit et de lombalgies communes. L’enquêtrice a donc eu connaissance, lors de la rédaction de son rapport, de tous ces éléments. Relevons au demeurant que les experts de F.________ ont eu connaissance des rapports d’octobre 2018 du psychiatre traitant et de la médecin généraliste traitante dont se prévaut la recourante, lesquels ne font pas état de diagnostics qui auraient été ignorés par les experts. Précisons à ce sujet que le trouble de la personnalité mentionné par ces médecins traitants a été exclu par l’expert psychiatre de F.________, qui a expliqué de manière étayée et convaincante les raisons le conduisant à écarter un tel diagnostic (volet psychiatrique du rapport d’expertise, p. 28 et 29), lequel n’est par ailleurs pas retenu par le nouveau psychiatre traitant (cf. rapport du 17 janvier 2022 du Dr U.________). Pour le surplus,</w:t>
      </w:r>
    </w:p>
    <w:p>
      <w:r>
        <w:t>- 22 - l’évaluatrice a bien noté dans son rapport que la date de l’atteinte à la santé était mars 2012, avec une péjoration en janvier 2018 comme l’ont retenu les experts. De même, elle a mentionné les incapacités de travail figurant dans le rapport d’expertise du F.________. Ces derniers éléments ne sont cependant pas déterminants, puisque la recourante est ménagère à 100 %, statut qu’elle ne conteste pas. Le statut de ménagère de 100 % a au demeurant été dûment motivé par l’enquêtrice de l’OAI, qui a expliqué les raisons l’ayant conduit à s’écarter des indications fournies par la recourante dans le formulaire du 29 mars 2019 selon lequel elle exercerait une activité lucrative à 100 % depuis mai 2013 par nécessité financière. A ce propos, le rapport d’enquête économique mentionne que le pourcentage de 100 % indiqué par la recourante ne correspondait pas à sa situation professionnelle avant l’atteinte à la santé, puisqu’elle n’avait jamais travaillé depuis son arrivée en Suisse en 1995, la recourante étant femme au foyer depuis cette date, par choix personnel, et n’ayant pas repris une activité professionnelle lorsque son mari a été mis au bénéfice d’une rente-pont AVS en décembre 2011. L’enquêtrice a par ailleurs noté que lors de l’entretien, la recourante avait déclaré qu’elle ne pensait pas qu’en bonne santé elle travaillerait, et qu’elle ne s’imaginait pas entreprendre une activité à 54 ans, alors qu’elle n’avait jamais travaillé. Cela étant, les experts du F.________ n’ont pas examiné, ou compris, la question du statut. Ainsi l’expert de médecine interne a estimé que la recourante avait un statut d’active à plein temps (cf. expertise volet de médecine interne, p. 6). Quant à l’expert psychiatre, il a relevé qu’il n’y avait à son avis pas d’activité professionnelle habituelle chez l’assurée, qui n’avait jamais travaillé en Suisse et se déclarait femme au foyer à 100 % (volet psychiatrique de l’expertise, p. 32). Dans la mesure cependant où il était indiqué que le statut de la personne assurée était une activité lucrative à plein temps dans le profil d’exigences pour l’activité actuelle fourni par l’OAI, il a expliqué que la capacité de travail était de 50 % dans les activités comme aide-comptable ou vendeuse de billets de bus dans un kiosque, activités exercées par la recourante avant son arrivée en Suisse.</w:t>
      </w:r>
    </w:p>
    <w:p>
      <w:r>
        <w:t>- 23 - Or, ainsi qu’on l’a vu, nous sommes en présence d’une assurée qui a été et demeure 100 % ménagère. Les experts du F.________ n’ont ainsi pas examiné la capacité de la recourante à accomplir ses travaux habituels de ménagère. C’est dans cette configuration qu’une évaluation ménagère a été mise en œuvre. A cet égard, et dans la mesure où l’enquêtrice a tenu compte des atteintes somatiques et psychiques retenues par les médecins du F.________, et que ceux-ci ne se sont pas prononcés sur le préjudice ménager, l’OAI était fondé à se baser sur le rapport de l’enquête ménagère, lequel remplit les réquisits jurisprudentiels pour se voir reconnaître une pleine valeur probante. En effet, outre l’ensemble des diagnostics et des limitations induites par les atteintes à la santé de la recourante qui ont été pris en compte par l’enquêtrice, le rapport d’enquête, qui est dûment motivé, retranscrit également les déclarations de la recourante, y compris sur la nouvelle atteinte au poignet dont celle-ci lui avait fait part. Le rapport mentionne à ce propos une fracture du poignet gauche en avril 2021, chez une assurée droitière, consécutive à une chute en arrière en promenant son chien (p. 2 du rapport d’évaluation économique sur le ménage). De même, l’enquêtrice a pris note du fait que la recourante avait insisté sur le fait que son atteinte ophtalmologique serait en péjoration selon elle, avec une baisse de son acuité visuelle (p. 2 haut du rapport d’enquête). Enfin, l’évaluatrice a exposé de manière étayée les empêchements ménagers de la recourante. Pour le surplus, les pièces produites à l’appui du recours ne sont pas de nature à remettre en cause les conclusions de l’enquête. En particulier, le rapport du 17 janvier 2022 du Dr U.________ n’entre pas en contradiction avec les constats des experts ; il fait au contraire plutôt état d’une amélioration, avec une thymie améliorée. Quant à l’atteinte au poignet gauche, les rapports de la A.________ produits par la recourante, qui figuraient déjà au dossier, font état d’une évolution satisfaisante et n’apportent pas d’éléments permettant de retenir une modification</w:t>
      </w:r>
    </w:p>
    <w:p>
      <w:r>
        <w:t>- 24 - significative durable des limitations fonctionnelles de la recourante, comme l’a relevé le SMR. d) La recourante reproche par ailleurs à l’enquête économique sur le ménage une pondération insuffisante de certains postes. Concernant le poste « Alimentation », elle semble soutenir que la pondération de 60 % pour les activités « préparer et cuire les aliments, faire des provisions » apparaît insuffisante tout comme le taux d’empêchement de 35 % retenu pour ces actes. Pour le poste « Alimentation », l’enquêtrice a fait la pondération suivante : 60 % pour les activités précitées, 10 % pour « mettre la table, servir le repas, débarrasser la table » et 30 % pour « nettoyer la cuisine au quotidien (ranger la cuisine, laver la vaisselle, remplir et vider le lave-vaisselle, nettoyer le bloc de cuisine) ». Cette répartition semble tout à fait adéquate et la recourante n’explique pas en quoi cette pondération serait critiquable. On ne saurait non plus retenir que le taux d’empêchement de 35 % fixé par l’évaluatrice pour la préparation et la cuisson des repas, ainsi que pour faire les provisions serait sous-évalué. A ce propos, l’enquêtrice a relevé ce qui suit : « C’est le mari qui prépare les repas (exigible), avec l’aide de l’assurée. Elle achète dorénavant des plats déjà prêts, ou fait des repas plus simples et rapides, mentionnant également que cela est dû à leur restriction budgétaire. Elle explique arriver un peu à éplucher et couper les légumes et ne pas arriver à porter du lourd (comme une assiette bien remplie), en raison de son arthrose aux doigts (non incapacitants selon le SMR). C’est le mari qui porte les casseroles et enfourne les plats (exigible). Elle peut utiliser le petit cuiseur (type micro- onde), en tirant le couvercle contre elle ». Au vu des limitations fonctionnelles retenues par les experts de F.________, on ne peut pas retenir un taux d’empêchement plus important pour ces actes de la vie ordinaire, étant rappelé qu’aucune limitation fonctionnelle physique n’a été retenue par les experts. Concernant le poste « travaux de nettoyage courants » qui est également contesté par la recourante, le rapport d’évaluation économique sur le ménage retient un taux d’empêchement de 40 % et mentionne ce qui suit : « L’assurée range ses habits uniquement, précisant qu’ils sont mal rangés, Elle range « un peu »</w:t>
      </w:r>
    </w:p>
    <w:p>
      <w:r>
        <w:t>- 25 - l’appartement. Elle époussette selon son état, selon les jours. Elle ne pense pas vraiment à planifier les tâches, mais les répartit automatiquement en fonction de son état de santé. Elle explique qu’elle n’a plus le moral pour faire le ménage, et met également en avant ses vertiges et les douleurs aux articulations (à noter qu’il y a les atteintes somatiques non incapacitantes selon le SMR). C’est plutôt le fils ou le mari qui passe l’aspirateur et la serpillère (exigible). Elle nettoie beaucoup moins la salle de bain qu’avant, en sprayant le produit et en passant un coup de chiffon, en surface. Le couple ne lave plus la baignoire mais passe un coup de jet d’eau. Les draps de lit sont changés à deux, avec l’aide du mari (exigible). C’est le mari qui change la housse du matelas (exigible). La fréquence du changement des draps a diminué à 3 semaines. L’assurée participe moins depuis 01.2018 ». Rien ne permet de s’écarter de l’appréciation de l’enquêtrice qui est motivée et en adéquation avec les limitations fonctionnelles de la recourante. La recourante se limite à alléguer que l’empêchement pour ce poste peut être fixé à 60 % au lieu des 40 % retenus par l’enquêtrice, sans fournir la moindre explication. Enfin, contrairement à ce qu’elle soutient, le rapport du 17 janvier 2022 du Dr U.________ ne mentionne pas qu’elle présenterait une incapacité totale dans l’exécution des tâches ménagères. Par ailleurs, ce document du psychiatre traitant ne mentionne pas des limitations fonctionnelles pouvant impacter la capacité de la recourante à tenir son ménage, le Dr U.________ évoquant, concernant le status psychique, des difficultés liées à l’anxiété de la recourante en lien avec la pandémie. En définitive, aucun élément ne permet de douter des conclusions contenues dans le rapport d’enquête ménagère. C’est ainsi à juste titre que l’intimé a retenu que la recourante présentait des empêchements dans l’accomplissement de ses travaux habituels de 32 % et a fixé le degré d’invalidité à ce taux, lequel est insuffisant pour ouvrir le droit à une rente d’invalidité.</w:t>
      </w:r>
    </w:p>
    <w:p>
      <w:r>
        <w:rPr>
          <w:b/>
        </w:rPr>
        <w:t>E. 6</w:t>
      </w:r>
    </w:p>
    <w:p>
      <w:r>
        <w:t>a) Si l'administration ou le juge, se fondant sur une appréciation consciencieuse des preuves fournies par les investigations auxquelles ils doivent procéder d'office, sont convaincus que certains faits</w:t>
      </w:r>
    </w:p>
    <w:p>
      <w:r>
        <w:t>- 26 -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([Constitution fédérale de la Confédération suisse du 18 avril 1999 ; RS 101] ; ATF 140 I 285 consid. 6.3.1 ; 134 I 140 consid. 5.3 ; 130 II 425 consid. 2.1 ; TF 8C_660/2015 du 24 février 2016 consid. 4.1). b) En l’espèce, le dossier est complet et permet à la Cour de céans de statuer en pleine connaissance de cause. Il n’y a dès lors pas lieu de compléter l’instruction comme le requiert la recourante par la mise en œuvre d’une expertise judiciaire. Une telle mesure ne serait pas de nature à modifier les considérations qui précèdent, les faits pertinents ayant pu être constatés à satisfaction de droit. La requête de la recourante en ce sens doit ainsi être rejetée.</w:t>
      </w:r>
    </w:p>
    <w:p>
      <w:r>
        <w:rPr>
          <w:b/>
        </w:rPr>
        <w:t>E. 7</w:t>
      </w:r>
    </w:p>
    <w:p>
      <w:r>
        <w:t>pages, il comporte essentiellement un résumé des faits et des considérations générales en droit. Les arguments spécifiques à la présente procédure reposent sur une seule page de l’acte de recours. Me Fontana mentionne en outre avoir consacré 3h00 supplémentaires à l’étude du dossier de l’OAI et 10 minutes à un rapport du Dr U.________ le 29 mars 2022. Or ces activités ont été accomplies le lendemain du dépôt du recours, et aucune réplique n’a été déposée. Enfin, l’assistance judiciaire ayant été accordée avec effet au 28 mars 2022, les activités antérieures ne sauraient être prises en compte, d’autant moins qu’elles ont trait à la demande d’assistance juridique gratuite déposée auprès de l’OAI. En définitive, il se justifie de tenir compte d’un total de 8h30 dans le cadre de l’assistance judiciaire, à un tarif horaire de 180 fr., soit 1'530 fr., montant auquel il convient d’ajouter des débours forfaitaires à concurrence de 5 % des honoraires admis (art. 3bis al. 1 RAJ [règlement du 7 décembre 2010 sur l'assistance judiciaire en matière civile ; BLV 211.02.3]), par 76 fr. 50, et la TVA au taux de 7,7 %, par 123 fr. 70, soit à 1’730 fr. 20 au total. e) La recourante est rendue attentive au fait qu’elle devra rembourser les frais et l’indemnité provisoirement pris en charge par l’Etat</w:t>
      </w:r>
    </w:p>
    <w:p>
      <w:r>
        <w:t>- 28 -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