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ZD22.012197 vom 3. August 2023</w:t>
      </w:r>
    </w:p>
    <w:p>
      <w:r>
        <w:t>VD Tribunal cantonal, 2023-08-03, FR</w:t>
      </w:r>
    </w:p>
    <w:p>
      <w:r>
        <w:rPr>
          <w:b/>
        </w:rPr>
        <w:t xml:space="preserve">Quelle: </w:t>
      </w:r>
      <w:r>
        <w:t>https://mcp.opencaselaw.ch/entscheid/vd_gerichte_ZD22.012197</w:t>
      </w:r>
    </w:p>
    <w:p>
      <w:r>
        <w:t>FR: VD_GERICHTE ZD22.012197 du 3 août 2023</w:t>
      </w:r>
    </w:p>
    <w:p>
      <w:r>
        <w:t>IT: VD_GERICHTE ZD22.012197 del 3 agosto 2023</w:t>
      </w:r>
    </w:p>
    <w:p>
      <w:pPr>
        <w:pStyle w:val="Heading2"/>
      </w:pPr>
      <w:r>
        <w:t>Erwägungen</w:t>
      </w:r>
    </w:p>
    <w:p>
      <w:r>
        <w:rPr>
          <w:b/>
        </w:rPr>
        <w:t>E. 31</w:t>
      </w:r>
    </w:p>
    <w:p>
      <w:r>
        <w:t>octobre 2022 du Dr F.________ et requis la réalisation d’une expertise judiciaire pluridisciplinaire rhumatologique, psychiatrique et neurologique. d) Par duplique du 13 décembre 2022, l’Office AI a confirmé ses conclusions tendant au rejet du recours. Il y a joint un avis médical du 8 décembre 2022 du SMR. e) Par écriture du 7 mars 2023, M.________ a maintenu ses conclusions et a versé au dossier un rapport du 16 février 2023 du Dr F.________. f) Le 21 mars 2023, l’Office AI a transmis à la Cour de céans un avis médical du 14 mars 2023 du SMR. g) Par écriture du 17 avril 2023, M.________ a confirmé ses conclusions. E n d r o i t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w:t>
      </w:r>
    </w:p>
    <w:p>
      <w:r>
        <w:t>- 12 -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de l’assurance-invalidité, singulièrement sur la question de savoir si elle peut prétendre à une rente entière au-delà du 31 mars 2016.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Dans le cas présent, l’intimé a nié le droit de la recourante à une rente entière d’invalidité pour la période au-delà du 31 mars 2016, lui accordant un trois quarts de rente. La date de la naissance du droit à la rente étant antérieure au 1er janvier 2022, il convient dès lors d’appliquer l’ancien droit, dans sa teneur en vigueur jusqu’au 31 décembre 2021. 3. a) L’invalidité se définit comme l’incapacité de gain totale ou partielle qui est présumée permanente ou de longue durée et qui résulte d’une infirmité congénitale, d’une maladie ou d’un accident (art. 4 al. 1 LAI</w:t>
      </w:r>
    </w:p>
    <w:p>
      <w:r>
        <w:t>- 13 -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w:t>
      </w:r>
    </w:p>
    <w:p>
      <w:r>
        <w:t>- 14 -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Il découle de l’art. 61 let. c LPGA que le juge apprécie librement les preuves médicales, en procédant à une appréciation</w:t>
      </w:r>
    </w:p>
    <w:p>
      <w:r>
        <w:t>- 15 -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a) En l’espèce, la recourante a souffert, à la suite de son accident du 27 janvier 2011, d’une fracture du scaphoïde tarsien gauche, suivie d’une possible maladie de Südeck (algoneurodystrophie). Si cette atteinte a dans un premier temps entraîné une incapacité de travail totale, elle était réputée consolidée à la date de l’examen clinique auprès du Centre d'expertises B.________, à savoir le 15 mars 2012. La recourante a par ailleurs présenté une cervicobrachialgie, comme l'a attesté le Dr E.________. De l'avis de cet expert, la capacité de travail était réduite à 75 % dès 2012 dans l'activité habituelle et dans une activité adaptée aux limitations fonctionnelles d’épargne du rachis lombaire. Les Drs C.________ et E.________ ont en revanche exclu les diagnostics de spondylarthropathie et de polyarthrite rhumatoïde. Le diagnostic de fibromyalgie a lui aussi été éliminé par ce second expert, dès lors qu’aucun psychiatre appelé à se prononcer dans cette cause ne l’avait évoqué. Il en a été de même du diagnostic d’hypermobilité articulaire sur la base des critères de Brighton et du score de Beighton. Enfin, sur le plan psychiatrique, la Cour de céans, dans son arrêt du 23 septembre 2020, a jugé que la recourante ne</w:t>
      </w:r>
    </w:p>
    <w:p>
      <w:r>
        <w:t>- 16 - présentait pas d’atteinte incapacitante antérieure au 11 avril 2013, date de la première décision de l’Office AI, se distançant au passage du diagnostic d’état de stress post-traumatique posé par la Dre G.________ dans son rapport du 20 janvier 2018. b) Le 17 décembre 2014, la recourante a déposé une nouvelle demande de prestations de l'assurance-invalidité auprès de l'intimé. Elle s’est à ce titre fondée spécifiquement sur le rapport du 6 janvier 2015 de la Dre G.________, qui, après une consultation s'étant tenue en novembre 2014, avait mis en évidence les diagnostics – incapacitants – de trouble dépressif récurrent, épisode actuel sévère, et de trouble panique, et sur le rapport du 25 septembre 2014 de la Dre P.________ faisant état de dysphonie marquée depuis janvier 2014 en amélioration. Elle s’est par la suite appuyée sur le rapport du 20 janvier 2018 de la Dre G.________, qui a certifié une capacité de travail nulle entre novembre 2014 et au moins le début de l'année 2016 en raison d'un trouble dépressif récurrent majeur et d'un d’état de stress post-traumatique, une certaine amélioration ayant ensuite été constatée sans qu'elle puisse être traduite en termes de capacité de travail, et sur le rapport du 18 décembre 2019 de la Dre X.________, qui a diagnostiqué une épilepsie idiopathique généralisée. La recourante a encore produit les deux rapports des 31 octobre 2022 et 16 février 2023 du Dr F.________, au travers duquel ce dernier a signalé qu'elle souffrait d'un rhumatisme inflammatoire séronégatif, avec un diagnostic qui restait ouvert entre une polyarthrite rhumatoïde séronégative et une spondylarthropathie séronégative, ainsi que de troubles dégénératifs du rachis avec, entre autres, un épisode de cervicobrachialgie C7 droite sévère en mars 2022 et un épisode d'atteinte radiculaire irritative L3 droite sur hernie discale paramédiane L2 droite en 2014. c) Dans le cadre de l'instruction de cette seconde demande, l'intimé a recueilli divers rapports auprès des médecins traitants de la recourante, dont le rapport du 28 janvier 2021 de la Dre X.________, le rapport du 5 mars 2020 de l'Institution O.________, le rapport du 22 mars 2021 de la Dre G.________ et le rapport du 23 août 2021 du Dr K.________.</w:t>
      </w:r>
    </w:p>
    <w:p>
      <w:r>
        <w:t>- 17 - Sur la base de ces nouvelles pièces ainsi que sur celles transmises par la recourante et celles déjà présentes au dossier, il a reconnu une incapacité de travail totale sur le plan psychiatrique entre novembre 2014 et janvier 2016, puis de 40 % dès cette dernière date, justifiant de la sorte l'octroi d'une rente entière d'invalidité, puis de trois quarts de rente. d) Il convient en conséquence d'examiner, au regard de ces différents éléments médicaux, si c'est à raison que l'intimé a constaté une aggravation de la situation de l'assurée à partir du mois de novembre 2014. aa) Du point de vue rhumatologique, la péjoration dont se prévaut la recourante ne peut pas être retenue. En effet, le diagnostic de spondylarthropathie a été exclu par les experts C.________ et E.________, faute de la présence chez l’assurée de l'antigène HLA-B27, facteur génétique prédominant dans le cadre de ce type de pathologie, d'images radiologiques en faveur d'une atteinte des sacro-iliaques ou du rachis lombaire ou cervical, de réaction inflammatoire notable qui aurait dû apparaître sur l'IRM des articulations sacro-iliaques et de la réalisation des critères d'Amor et de l’Assessment of SpondyloArthritis international Society (ASAS). Le Dr C.________ a en outre écarté le diagnostic de polyarthrite rhumatoïde, dans la mesure notamment où, d’une part, personne n’avait décrit d’épanchement articulaire ni ponctionné une quelconque articulation à la recherche de liquide synovial et, d’autre part, l'examen clinique n’avait montré aucun élément en faveur d'une synovite des articulations des mains, des poignets, des genoux ou des avant-pieds, malgré l’existence de fortes douleurs et d'une baisse considérable de la force de préhension des mains en particulier. S'agissant des troubles dégénératifs du rachis – comme l'a à juste titre indiqué le Dr D.________ du SMR dans son avis du 8 décembre 2022 –, l'atteinte radiculaire irritative L3 droite de 2014 a été observée cette même année par le Dr C.________, qui a relevé une lombocruralgie droite. Appelé à se prononcer sur ce diagnostic à l'occasion de la seconde expertise, le Dr E.________ a toutefois considéré que les signes de cette atteinte n'apparaissaient plus en novembre 2016 sur les résultats d'imagerie. Quant à la cervicobrachialgie,</w:t>
      </w:r>
    </w:p>
    <w:p>
      <w:r>
        <w:t>- 18 - cet expert la mentionnait en 2016, précisant néanmoins que la capacité résiduelle de travail était de 75 %. Aussi, les deux rapports établis les 31 octobre 2022 et 16 février 2023 par le Dr F.________ ne sont pas susceptibles de mettre en doute les conclusions motivées des deux experts, dont les rapports respectifs des 11 décembre 2014 et 30 novembre 2017 doivent se voir reconnaître une pleine valeur probante. Le rhumatologue traitant s'est contenté de reprendre les observations et déductions déjà exposées dans ses précédents avis, sans fournir d'éléments objectifs expliquant une aggravation de l'état de santé de sa patiente. Font à cet égard singulièrement défaut de nouvelles imageries laissant entrevoir l'apparition de signes inflammatoire ou une progression des atteintes dégénératives, des examens de laboratoire ou des résultats de recherche de syndrome inflammatoire biologique. bb) Sur le plan neurologique, la Dre X.________ a spécifié, dans son rapport du 28 janvier 2021, que la recourante souffrait depuis 2019 d’épilepsie de type idiopathique à début tardif. Sa capacité de travail dans une activité adaptée s'élevait entre 20 % et 40 % en raison de cette atteinte et de la fatigue. Ainsi, rien au dossier ne permet de discuter de l'exactitude des conclusions de cette spécialiste. La recourante n'a d'ailleurs formulé aucun grief à leur égard. cc) Au niveau oto-rhino-laryngologique, la recourante a fait l'objet d'un suivi spécialisé par la Dre P.________ en raison d'une dysphonie apparu en 2014 au décours d'une rhino-pharyngite. Ainsi, il ne ressort ni des rapports élaborés par cette spécialiste ni d'une autre pièce au dossier que cette atteinte ait causé une incapacité de travail. L'assurée n'a au demeurant plus consulté la Dre P.________ depuis 2016. dd) Sous l'angle pneumologique, le Dr K.________ a diagnostiqué de l’asthme dans un contexte de rhinite pollinique saisonnière. Il a précisé que cette pathologie n'exerçait aucune influence durable sur la capacité de travail de la recourante. Elle était cependant à l'origine de limitations fonctionnelles contre-indiquant l’exposition aux phanères de chien et au froid. Les conclusions de ce spécialiste – qui ont</w:t>
      </w:r>
    </w:p>
    <w:p>
      <w:r>
        <w:t>- 19 - été prises en compte par l'intimé pour fixer les limitations fonctionnelles – n'ayant pas été remises en cause par la recourante ni par d'autres éléments au dossier, il convient de leur accorder une pleine valeur probante. ee) Enfin, au plan psychiatrique, la Dre G.________ a expliqué, dans ses rapports des 20 janvier 2018 et 22 mars 2021, que la recourante avait présenté un trouble dépressif récurent avec un épisode sévère entre novembre 2014 et le début de l'année 2016. Cet épisode avait provoqué une incapacité de travail de 100 % durant cette période. A compter de 2016, le trouble dépressif était en rémission, avec une fluctuation de sa gravité entre un degré léger et un degré moyen. La capacité de travail résiduelle est alors montée à 40 % dès cette date dans une activité adaptée, qui tenait compte des limitations fonctionnelles en lien avec le trouble de l’attention et de la concentration, la difficulté à maintenir un rythme veille-sommeil et la fatigabilité. Les psychologues de l'Institution O.________ ont de surcroît signalé, dans leur rapport du 5 mars 2020, un trouble neuropsychologique léger à moyen. Leur examen avait mis en exergue un déficit attentionnel modéré à sévère et une dysfonction exécutive modérée, qui étaient de nature à interférer avec la gestion du quotidien et la reprise d'une activité professionnelle. Cette dernière devait de cette façon intervenir à taux réduit et avec l'aménagement de pauses. Aussi, la recourante n'apporte aucun élément propre à remettre en question les constats et conclusions de la Dre G.________ et des psychologue de l'Institution O.________. Il en est de même concernant les autres pièces au dossier, si bien qu'il n'existe aucun motif de s'en écarter. e) Sur le vu de ce qui précède, il ne se justifie donc pas de se défaire de l'analyse de l'intimé selon laquelle la recourante a connu, au mois de novembre 2014, une aggravation de son état de santé, qui a conduit à une incapacité totale de travailler du 1er novembre 2014 au 31 décembre 2015, puis à une capacité résiduelle de travail de 40 % dans une activité adaptée à ses limitations fonctionnelles à partir du 1er janvier 2016.</w:t>
      </w:r>
    </w:p>
    <w:p>
      <w:r>
        <w:t>- 20 - f) Il n'y a de surcroît pas lieu de donner suite à la mesure d’instruction requise par la recourante portant sur la mise en œuvre d’une expertise judiciaire pluridisciplinaire rhumatologique, psychiatrique et neurologique, étant donné que celle-ci apparaît superflue compte tenu des circonstances. g) Pour le reste, ainsi que l’a mentionné l'intimé dans sa fiche du 12 octobre 2021 portant sur le calcul du salaire exigible, rien ne permet de conclure que les limitations fonctionnelles – énumérées dans l'avis du SMR du 14 septembre 2021 et la motivation des décisions du 23 février 2022 – entraveraient la recourante dans la mise en valeur de sa capacité résiduelle de travail dans un travail simple et répétitif dans le domaine industriel léger, par exemple le montage, le contrôle ou la surveillance d’un processus de production, en tant qu'ouvrière à l’établi dans des activités simples et légères ou dans le conditionnement ou comme aide- administrative (réception, scannage et autres). Le marché du travail équilibré offre d'ailleurs un nombre suffisant d’emplois dans ce secteur d'activités. 5. a) Dans la mesure où une incapacité de travail de 40 % dans une activité adaptée a été attestée dès le 1er janvier 2016, il appartient encore de vérifier si la recourante est effectivement en droit de prétendre au versement de trois quarts de rente à partir du 1er avril 2016 (soit trois mois après l'amélioration de sa capacité de travail [cf. art. 88a al. 1 RAI]), ce en procédant à une comparaison des revenus. b) S’agissant du revenu sans invalidité, il convient de se référer au dernier revenu réalisé par la recourante auprès de son ancien employeur – tel qu'indiqué par ce dernier dans son rapport du 15 décembre 2011 à l'intimé – indexé à 2016, soit 57'833 fr. 34. Le revenu avec invalidité, quant à lui, doit être calculé à l’aune de l’Enquête suisse sur la structure des salaires (ESS), l'assurée n’ayant pas repris d’activité lucrative (cf. ATF 143 V 295 consid. 2.2 ; 129 V 472 consid. 4.2.1). Ainsi, selon les données pour l’année 2016, le salaire auquel pouvaient prétendre les femmes dans des activités manuelles simples était de</w:t>
      </w:r>
    </w:p>
    <w:p>
      <w:r>
        <w:t>- 21 - 4'363 fr. pour une semaine de travail de 40 heures, à savoir 52'353 fr. par an. Compte tenu d'une durée hebdomadaire moyenne de travail de 41,7 heures cette année-là dans ce secteur d’activités (cf. OFS, Durée normale du travail dans les entreprises selon la division économique [NOGA 2008], en heures par semaine, T 03.02.03.01.04.01) et d'une capacité résiduelle de travail de 40 %, le revenu d’invalide annuel se monte à 21'832 fr. 45. c) Ainsi, la comparaison d’un revenu d’invalide de 21'832 fr. 45 à un revenu sans invalidité de 57'833 fr. 34 aboutit à un degré d’invalidité – arrondi – de 62 %, lequel ouvre bel et bien le droit à un trois quarts de rente. 6. a) La recourante requiert la prise en charge par l’office intimé des frais d’établissement des rapports établis les 31 octobre 2022 et 16 février 2023 par le Prof. F.________. b)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c) En l’occurrence, les rapports du Prof. F.________ n’ont, comme le démontre la motivation du présent arrêt, pas apporté de constatations déterminantes pour infirmer la position de l’office intimé. Dès lors que les rapports du Prof. F.________ n’étaient pas indispensables à l’appréciation du cas au sens de l’art. 45 al. 1 LPGA, les frais correspondants ne doivent pas être pris en charge par l’office intimé.</w:t>
      </w:r>
    </w:p>
    <w:p>
      <w:r>
        <w:t>- 22 - 7. a) En définitive, le recours, mal fondé, doit être rejeté et les décisions rendues le 23 février 2022 par l'intimé confirmées.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a été mise au bénéfice de l’assistance judiciaire par décision du 12 mai 2022 du Juge instructeur. Les frais judiciaires mis à sa charge ci-avant sont donc provisoirement supportés par l’Etat et Me Jean-Michel Duc peut prétendre une équitable indemnité pour son mandat d’office. Me Duc a produit une liste des opérations le 30 mai 2023 faisant état de 16 heures et 5 minutes consacrées à la présente procédure. S’il convient d’en tenir compte pour fixer l’indemnité, cette liste ne peut toutefois être intégralement suivie. L’activité déployée dépasse en effet ce qu’admet la pratique de la Cour dans l’estimation du temps objectivement requis pour le traitement de cas de ce genre eu égard à l’importance et à la complexité du litige. En particulier, Me Duc a indiqué avoir dédié, le 30 novembre 2022, 3 heures à l'examen du dossier de la cause. Or il avait déjà procédé à un tel examen le 25 mars 2022 au moment de rédiger le recours. Certes, le dossier a été mis à jour dans l'intervalle. Il n'a toutefois été complété que d'une centaine de pages, si bien que consacrer une demi-heure à l'analyse des nouvelles pièces aurait été largement suffisant. Par conséquent, le nombre d’heures nécessaires au mandat doit être ramené à 13 heures 35, auxquelles s’applique le tarif horaire de 180 fr. ainsi qu’un forfait de 5 % du défraiement hors taxe pour les débours. Le montant de l’indemnité de Me Duc est, partant, arrêté à</w:t>
      </w:r>
    </w:p>
    <w:p>
      <w:r>
        <w:t>- 23 - 2'764 fr. 95,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