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ZD22.010433 vom 18. Oktober 2023</w:t>
      </w:r>
    </w:p>
    <w:p>
      <w:r>
        <w:t>VD Tribunal cantonal, 2023-10-18, FR</w:t>
      </w:r>
    </w:p>
    <w:p>
      <w:r>
        <w:rPr>
          <w:b/>
        </w:rPr>
        <w:t xml:space="preserve">Quelle: </w:t>
      </w:r>
      <w:r>
        <w:t>https://mcp.opencaselaw.ch/entscheid/vd_gerichte_ZD22.010433</w:t>
      </w:r>
    </w:p>
    <w:p>
      <w:r>
        <w:t>FR: VD_GERICHTE ZD22.010433 du 18 octobre 2023</w:t>
      </w:r>
    </w:p>
    <w:p>
      <w:r>
        <w:t>IT: VD_GERICHTE ZD22.010433 del 18 ottobre 2023</w:t>
      </w:r>
    </w:p>
    <w:p>
      <w:pPr>
        <w:pStyle w:val="Heading2"/>
      </w:pPr>
      <w:r>
        <w:t>Erwägungen</w:t>
      </w:r>
    </w:p>
    <w:p>
      <w:r>
        <w:rPr>
          <w:b/>
        </w:rPr>
        <w:t>E. 1</w:t>
      </w:r>
    </w:p>
    <w:p>
      <w:r>
        <w:t>a) Les dispositions de la LPGA (loi fédérale du 6 octobre 2000 sur la partie générale du droit des assurances sociales ; RS 830.1)</w:t>
      </w:r>
    </w:p>
    <w:p>
      <w:r>
        <w:t>- 12 -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a pour objet le droit de la recourante à une allocation pour impotent de l’assurance-invalidité.</w:t>
      </w:r>
    </w:p>
    <w:p>
      <w:r>
        <w:rPr>
          <w:b/>
        </w:rPr>
        <w:t>E. 3</w:t>
      </w:r>
    </w:p>
    <w:p>
      <w:r>
        <w:t>a) Dans le cadre du développement continu de l’AI, la LAI, le RAI (règlement du 17 janvier 1961 sur l’assurance-invalidité ; RS 831.201) et la LPGA ont été modifiés avec effet au 1er janvier 2022 (modification du 19 juin 2020 ; RO 2021 705 ; FF 2017 2535). b) De façon générale, le droit applicable est déterminé par les règles en vigueur au moment où les faits juridiquement déterminants se sont produits, étant précisé que le juge n’a pas à prendre en considération les modifications du droit ou l’état de fait postérieur à la date déterminante de la décision litigieuse (ATF 130 V 445 consid. 1.2.1 et les références citées). c) En l’espèce, les faits déterminants se sont déroulés essentiellement sous l’ancien droit en dépit de la date de la décision litigieuse. Cela étant, les dispositions de la LAI applicables en matière d’allocation pour impotent n’ont pas subi de modifications dès le 1er janvier 2022. Le nouveau droit entré en vigueur au 1er janvier 2022</w:t>
      </w:r>
    </w:p>
    <w:p>
      <w:r>
        <w:t>- 13 - demeure par conséquent sans incidence sur l’issue de la présente procédure.</w:t>
      </w:r>
    </w:p>
    <w:p>
      <w:r>
        <w:rPr>
          <w:b/>
        </w:rPr>
        <w:t>E. 4</w:t>
      </w:r>
    </w:p>
    <w:p>
      <w:r>
        <w:t>a) Selon la jurisprudence, 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b) Il apparaît superflu de se prononcer sur les arguments de la recourante en lien avec une éventuelle discrimination au sens de l’art. 8 Cst. dans la mesure où on ne voit pas que sa situation aurait fait l’objet d’un traitement différent de celle de tout autre assuré. En particulier, on ne saurait considérer que le diagnostic de diabète de type 1, posé auprès d’un assuré mineur, impliquerait d’emblée l’octroi d’une allocation pour impotent de l’assurance-invalidité. Il convient, en revanche, de se prononcer spécifiquement sur les répercussions d’une telle atteinte à la santé dans chaque cas particulier à l’aune des normes applicables en matière d’impotence.</w:t>
      </w:r>
    </w:p>
    <w:p>
      <w:r>
        <w:rPr>
          <w:b/>
        </w:rPr>
        <w:t>E. 5</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w:t>
      </w:r>
    </w:p>
    <w:p>
      <w:r>
        <w:t>- 14 - droit à une allocation pour impotent ; l’art. 42bis (disposition pour les mineurs) est réservé (al. 1). L'impotence peut être grave, moyenne ou faible (al. 2).</w:t>
      </w:r>
    </w:p>
    <w:p>
      <w:r>
        <w:rPr>
          <w:b/>
        </w:rPr>
        <w:t>E. 6</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w:t>
      </w:r>
    </w:p>
    <w:p>
      <w:r>
        <w:t>- 15 -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w:t>
      </w:r>
    </w:p>
    <w:p>
      <w:r>
        <w:rPr>
          <w:b/>
        </w:rPr>
        <w:t>E. 7</w:t>
      </w:r>
    </w:p>
    <w:p>
      <w:r>
        <w:t>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(TF 9C_350/2014 précité consid. 4.2.3).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w:t>
      </w:r>
    </w:p>
    <w:p>
      <w:r>
        <w:rPr>
          <w:b/>
        </w:rPr>
        <w:t>E. 8</w:t>
      </w:r>
    </w:p>
    <w:p>
      <w:r>
        <w:t>a) Selon une jurisprudence constante, ainsi que selon le chiffre 2020 de la Circulaire sur l’impotence (CSI), édictée par l’Office fédéral des assurances sociales (OFAS), dans sa teneur en vigueur dès le 1er janvier</w:t>
      </w:r>
    </w:p>
    <w:p>
      <w:r>
        <w:t>- 16 - 2022,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w:t>
      </w:r>
    </w:p>
    <w:p>
      <w:r>
        <w:t>- 17 -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L’aide indirecte doit être d’une certaine intensité ;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(cf. ch.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2018 CSI ; cf. également Michel Valterio, Commentaire de la loi sur l’assurance-invalidité, Genève/Zurich/Bâle 2018, n°28 ss ad art. 42 LAI, p. 605 et références citées).</w:t>
      </w:r>
    </w:p>
    <w:p>
      <w:r>
        <w:rPr>
          <w:b/>
        </w:rPr>
        <w:t>E. 9</w:t>
      </w:r>
    </w:p>
    <w:p>
      <w:r>
        <w:t>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w:t>
      </w:r>
    </w:p>
    <w:p>
      <w:r>
        <w:t>- 18 -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 2058 ss CSI ; cf. également : Michel Valterio, op. cit., n°42 ad. art. 42 LAI, p. 611).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 2063 ss CSI ; cf. également : Michel Valterio, op. cit., n°47 ad art. 42 LAI, p. 613).</w:t>
      </w:r>
    </w:p>
    <w:p>
      <w:r>
        <w:rPr>
          <w:b/>
        </w:rPr>
        <w:t>E. 10</w:t>
      </w:r>
    </w:p>
    <w:p>
      <w:r>
        <w:t>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w:t>
      </w:r>
    </w:p>
    <w:p>
      <w:r>
        <w:t>- 19 -</w:t>
      </w:r>
    </w:p>
    <w:p>
      <w:r>
        <w:rPr>
          <w:b/>
        </w:rPr>
        <w:t>E. 11</w:t>
      </w:r>
    </w:p>
    <w:p>
      <w:r>
        <w:t>a) En l’espèce, concernant l’accomplissement de l’acte « se vêtir/se dévêtir », l’intimé a relevé que la recourante était autonome pour son accomplissement. L’assistance de sa mère était toutefois nécessaire pour éviter d’endommager ou d’arracher le cathéter. La recourante estime que sans cette aide, elle se trouverait « dans l’incapacité totale » de réaliser l’acte en cause. b) On ne saurait toutefois suivre le raisonnement de la recourante, dans la mesure où l’aide invoquée en lien avec le cathéter ne peut être qualifiée d’« importante » au regard de la jurisprudence citée sous consid. 8d supra. Même si une certaine régularité peut être prise en considération, il n’y a pas lieu de conclure qu’à défaut de l’aide alléguée, la recourante serait incapable d’accomplir seule l’acte en question. Au demeurant, il n’apparaît pas incongru de prodiguer une assistance ponctuelle à une enfant de moins de 10 ans pour la réalisation de l’acte concerné (cf. également : Annexe 3 CSI). Enfin, on peut relever que le soutien prodigué par la mère de la recourante relève davantage de la surveillance personnelle que de l’accomplissement de l’acte ordinaire en question (cf. infra, consid. 16).</w:t>
      </w:r>
    </w:p>
    <w:p>
      <w:r>
        <w:rPr>
          <w:b/>
        </w:rPr>
        <w:t>E. 12</w:t>
      </w:r>
    </w:p>
    <w:p>
      <w:r>
        <w:t>S’agissant de l’accomplissement de l’acte « se lever/s’asseoir/se coucher », la recourante ne revendique pas la prise en compte cet acte au stade de la présente procédure. Il n’est pas contesté que ses parents doivent lui prodiguer une assistance de nuit pour des contrôles glycémiques ou des interventions en cas d’urgence, lesquels ont toutefois davantage trait à la question de la surveillance de la recourante (cf. infra, consid. 16).</w:t>
      </w:r>
    </w:p>
    <w:p>
      <w:r>
        <w:rPr>
          <w:b/>
        </w:rPr>
        <w:t>E. 13</w:t>
      </w:r>
    </w:p>
    <w:p>
      <w:r>
        <w:t>a) Eu égard à la réalisation de l’acte « manger », l’intimé a rapporté que la recourante était autonome pour réaliser cet acte, sa mère ou un enseignant devant toutefois calculer les glucides pour déterminer la dose adéquate d’insuline. Il a rappelé qu’un régime alimentaire ne devait</w:t>
      </w:r>
    </w:p>
    <w:p>
      <w:r>
        <w:t>- 24 - pas être retenu au titre de l’impotence. La recourante conteste, de son côté, que les mesures prises par l’adulte à chaque repas soient assimilables à un régime alimentaire. Elle a relevé que l’insulinothérapie fonctionnelle dont elle bénéficie requérait des calculs inaccessibles à une enfant de son âge et tendait à son maintien en vie. Aucun objectif de perte de poids ne devait par ailleurs être atteinte. b) L’acte « manger » comprend essentiellement la capacité à couper les aliments et à se nourrir (porter les aliments à la bouche, mâcher et avaler la nourriture). Le choix des aliments et la préparation du repas ne constituent pas des fonctions partielles de l’acte en question (cf. TF 9C_688/2014 du 1er juin 2015 consid. 5.1 ; cf. également : Michel Valterio, op. cit., n°19 ad art. 42 LAI, p. 602). Quoi que soutienne la recourante, elle ne présente aucune difficulté à réaliser l’ensemble des fonctions partielles de l’acte « manger ». Elle ne remet du reste pas en question sa capacité à se nourrir seule et à participer aux repas avec sa famille. En outre, on ne saurait à l’évidence envisager qu’un enfant de son âge, même en bonne santé, soit autonome pour la préparation des repas. Il est donc superflu de déterminer si la mesure des glucides au profit de la recourante doit être ou non assimilée à un régime alimentaire, puisqu’il s’agit de nier, à l’instar de l’intimé, un besoin d’assistance pour l’accomplissement de l’acte en cause selon les critères pertinents en matière d’impotence.</w:t>
      </w:r>
    </w:p>
    <w:p>
      <w:r>
        <w:rPr>
          <w:b/>
        </w:rPr>
        <w:t>E. 14</w:t>
      </w:r>
    </w:p>
    <w:p>
      <w:r>
        <w:t>a) Relativement à l’acte « faire sa toilette », l’intimé a observé que la recourante était autonome pour accomplir l’ensemble des fonctions partielles de l’acte en cause. L’assistance de sa mère s’avérait toutefois nécessaire pour déconnecter la pompe à insuline durant la toilette et la reconnecter après la douche. La recourante a souligné être dans l’impossibilité de se charger de la gestion de la pompe à insuline, ce que le Dr D.________ avait d’ailleurs dûment exposé dans ses rapports des 26 septembre et 13 décembre 2021. b) En l’occurrence, on peut se rallier à l’appréciation de l’intimé eu égard à la réalisation de l’acte concerné. L’aide prodiguée pour</w:t>
      </w:r>
    </w:p>
    <w:p>
      <w:r>
        <w:t>- 25 - la pompe à insuline n’a pas lieu d’être considérée comme « importante » au sens de la jurisprudence citée sous consid. 8d supra. La recourante demeure capable de réaliser seule l’essentiel de sa toilette, sous réserve de l’assistance dispensée pour sa pompe à insuline. Cela étant, cet assistance relève bien davantage de l’examen du besoin de surveillance personnelle de la recourante (cf. infra, consid. 16).</w:t>
      </w:r>
    </w:p>
    <w:p>
      <w:r>
        <w:rPr>
          <w:b/>
        </w:rPr>
        <w:t>E. 15</w:t>
      </w:r>
    </w:p>
    <w:p>
      <w:r>
        <w:t>a) Sous la rubrique des traitements, l’enquêtrice de l’intimé a tenu compte des injections d’insuline, ainsi que des changements de cathéter et de capteurs de glycémie. Elle a également fait état de 14 contrôles glycémiques quotidiens pour comptabiliser un surcroît de temps consacré aux soins de 49 minutes. En outre, l’accompagnement à des visites médicales et thérapeutiques a été comptabilisé à hauteur de 3 minutes. b) L’appréciation de l’intimé n’apparaît pas critiquable en lien avec les injections d’insuline et l’adaptation du matériel (cathéter et capteurs), puisqu’on peut effectivement considérer que ces opérations correspondent à la notion de soins au sens de la jurisprudence mentionnée plus haut sous consid. 9a. La mesure de l’accompagnement aux thérapies peut également être confirmée, sans plus ample examen, la recourante ne remettant pas en question les constats ressortant du rapport d’enquête du 21 juillet 2021. c) Relativement aux contrôles glycémiques, réalisés quotidiennement environ 14 fois et effectués éventuellement de nuit en cas d’urgence, on peut en revanche douter que ces contrôles correspondent à la notion de soins. Ils apparaissent bien plutôt ressortir à la surveillance personnelle de la recourante dans le but de maintenir son équilibre glycémique. Il convient par conséquent de retrancher ces contrôles de la durée des traitements comptabilisée par l’intimé à hauteur de 28 minutes et de les prendre en considération au titre de la surveillance personnelle permanente (cf. infra, consid. 16).</w:t>
      </w:r>
    </w:p>
    <w:p>
      <w:r>
        <w:t>- 26 - d) On ajoutera que les traitements administrés à la recourante et l’adaptation de son matériel de soin ne remplissent pas les critères pour être qualifiés de particulièrement astreignants, en vertu de l’art. 37 al. 3 RAI, tant sur le plan quantitatif que qualitatif. On observe que l’exécution de ces traitements ne justifie pas en soi un temps ou des coûts importants, ni que ceux-ci seraient réalisés dans des conditions particulièrement difficiles (cf. consid. 9b ci-avant). Le temps par injection a été chiffré à 2 minutes quotidiennes et l’adaptation du matériel à 11 minutes journalières, ce qui n’apparaît pas excessivement exigeant et n’atteint de toute façon pas plus de 2 heures par jour. Il est donc exclu de retenir des soins particulièrement astreignants in casu.</w:t>
      </w:r>
    </w:p>
    <w:p>
      <w:r>
        <w:rPr>
          <w:b/>
        </w:rPr>
        <w:t>E. 16</w:t>
      </w:r>
    </w:p>
    <w:p>
      <w:r>
        <w:t>a) Eu égard à la question de la surveillance personnelle permanente, l’enquêtrice de l’intimé a écarté un tel besoin dans son rapport d’enquête du 21 juillet 2021, relevant que la recourante était scolarisée en école publique, où des protocoles avaient été mis en place. Elle commençait en outre à être capable de gérer sa glycémie. Ses parents devaient toutefois se rendre à l’école en cas d’urgence (hyperglycémies). Un adulte devait être présent lors des sorties scolaires et extrascolaires. Selon l’enquêtrice de l’intimé, il n’y avait toutefois ni besoin de surveillance, ni mise en danger de la recourante. Pour sa part, la recourante a souligné l’important investissement de ses parents, notamment pour les contrôles quotidiens de la glycémie et la gestion d’éventuelles urgences pouvant survenir de jour comme de nuit. Dans ce contexte, la recourante s’est prévalue des rapports établis les 26 septembre et 13 décembre 2021 par le Dr D.________, lequel a notamment rappelé la formation nécessaire tant pour les parents que pour le personnel enseignant encadrant un enfant affecté du diabète de type 1. La présence constante d’un adulte formé, disponible pour l’enfant, était indispensable pour assurer un équilibre glycémique et/ou intervenir adéquatement en cas d’urgence. En outre, ce spécialiste a exposé les contraintes liées aux mesures quotidiennes de la glycémie et à « l’effort logistique » impliqué par les appareils de technologie médicale. Un suivi médical régulier s’imposait pour vérifier l’adéquation des traitements et l’absence d’effets secondaires de l’atteinte à la santé. Il considérait qu’un</w:t>
      </w:r>
    </w:p>
    <w:p>
      <w:r>
        <w:t>- 27 - enfant diabétique ne pouvait être autonome avant l’âge de 12 ans environ, étant donné la technicité des appareils médicaux et la précision des calculs des taux de glucides et d’insuline. On ajoutera que la recourante a produit, au stade de la procédure administrative, un tableau récapitulant les différents contrôles réalisés chaque jour par ses parents ou ses enseignants (totalisant environ 15 heures par semaine), lequel illustre concrètement les propos du Dr D.________. b) Compte tenu des explications détaillées fournies par le Dr D.________, lesquelles rejoignent les déclarations des parents de la recourante, il convient d’écarter l’appréciation de l’intimé en lien avec la question de la surveillance personnelle permanente. Contrairement à ce que soutient son enquêtrice dans le rapport du 21 juillet 2021, l’absence de surveillance personnelle de la recourante est bel et bien susceptible d’entraîner des conséquences graves sur sa santé, voire de mettre en péril sa vie. On peut en effet considérer comme établi que la recourante doit pouvoir bénéficier d’une disponibilité constante de la part d’un adulte formé (un parent ou un enseignant) pour procéder aux contrôles glycémiques quotidiens (14 fois par jour en moyenne à raison de 2 minutes pour chaque contrôle dans le cas d’espèce) et d’intervenir en cas d’urgence. A défaut, elle court manifestement le risque de se mettre en danger ou de compromettre durablement sa santé, tandis qu’elle peut à n’importe quel moment (quotidiennement, voire plusieurs fois par jour ou par nuit) présenter une hypoglycémie ou une hyperglycémie. Cette exigence d’une disponibilité constante de l’adulte, de jour comme de nuit, correspond manifestement à la notion de surveillance personnelle permanente développée par la jurisprudence fédérale (cf. consid. 10 supra). On ajoutera que la recourante a quotidiennement besoin d’une surveillance pour assurer le maintien en place du cathéter lorsqu’elle réalise certaines activités de la vie quotidienne (habillement et douche, mentionnés dans le rapport d’enquête à domicile du 21 juillet 2021). Enfin, étant donné la technicité du matériel médical, mise en exergue par le Dr D.________, on peut effectivement retenir que la recourante, vu son âge à la date de la décision querellée, n’est pas encore capable de réaliser les gestes thérapeutiques adaptés à son état de santé.</w:t>
      </w:r>
    </w:p>
    <w:p>
      <w:r>
        <w:t>- 28 - c) Par conséquent, il convient d’admettre que la recourante requiert, au plus tard depuis l’âge de six ans révolus (cf. consid. 10d supra ; Annexe 2 CSI), une surveillance personnelle permanente, correspondant à un surcroît d’aide de deux heures par jour. Il n’a toutefois pas lieu de prendre en compte un besoin de surveillance particulièrement intense qui équivaudrait à quatre heures par jour, dans la mesure où la recourante reste dotée d’une certaine autonomie et ne requiert pas une présence permanente de l’adulte à son chevet, ce qui laisse la possibilités aux surveillants de se consacrer à d’autres activités.</w:t>
      </w:r>
    </w:p>
    <w:p>
      <w:r>
        <w:rPr>
          <w:b/>
        </w:rPr>
        <w:t>E. 17</w:t>
      </w:r>
    </w:p>
    <w:p>
      <w:r>
        <w:t>a) S’agissant des assurés mineurs, l’art. 42bis al. 3 LAI prévoit que pour les assurés âgés de moins d’un an, le droit à l’allocation pour impotent prend naissance dès qu’il existe une impotence d’une durée probable de plus de douze mois. Selon l’art. 42 al. 4 LAI, l’allocation pour impotent est octroyée au plus tôt à la naissance. La naissance du droit est régie, à partir de l’âge d’un an, par l’art. 29 al. 1 LAI. b) Le Tribunal fédéral a toutefois précisé que contrairement au renvoi de l’art. 42 al. 4 in fine LAI, le début du droit à l’allocation pour impotent ne se détermine pas en fonction de l’art. 29 al. 1 LAI, mais de l’art. 28 al. 1 LAI (ATF 137 V 351 consid. 4 et 5). Partant, le droit à une allocation pour impotent suppose dans tous les cas l'expiration de la période d'attente d'une année en application analogique de l'art. 28 al. 1 let. b LAI (ATF 144 V 361 consid. 6.2) c) Par ailleurs, si un assuré ayant droit à une allocation pour impotent présente sa demande plus de douze mois après la naissance de ce droit, la prestation, en dérogation à l’art. 24 al. 1 LPGA, n’est allouée que pour les douze mois précédent le dépôt de la demande (art. 48 al. 1 LAI).</w:t>
      </w:r>
    </w:p>
    <w:p>
      <w:r>
        <w:rPr>
          <w:b/>
        </w:rPr>
        <w:t>E. 18</w:t>
      </w:r>
    </w:p>
    <w:p>
      <w:r>
        <w:t>a) Dès lors que la recourante peut se prévaloir d’un besoin de surveillance personnelle permanente, elle a droit à une allocation pour impotent de degré faible, puisque sa situation correspond à l’alternative</w:t>
      </w:r>
    </w:p>
    <w:p>
      <w:r>
        <w:t>- 29 - prévue à l’art. 37 al. 3 let. b RAI. Elle ne saurait prétendre à une allocation pour impotent de degré moyen ou grave, en l’absence d’un besoin d’assistance reconnue pour l’accomplissement d’au moins deux actes ordinaires de la vie. b) Etant donné que le besoin de surveillance peut être reconnu à partir de l’âge de six ans révolus (atteints par la recourante [...] 2019), le délai de carence d’un an prévu par l’art. 28 al. 1 let. b LAI (applicable par analogie) est arrivé à échéance le [...] 2020. La recourante a ainsi droit au versement d’une allocation pour mineur impotent de degré faible dès le 1er novembre 2020.</w:t>
      </w:r>
    </w:p>
    <w:p>
      <w:r>
        <w:rPr>
          <w:b/>
        </w:rPr>
        <w:t>E. 19</w:t>
      </w:r>
    </w:p>
    <w:p>
      <w:r>
        <w:t>La recourante ne peut en revanche pas prétendre à l’octroi d’un supplément pour soins intenses, puisque le seuil minimal de quatre heures par jour de surcroît de temps n’est de loin pas atteint dans son cas (cf. art. 39 al. 1 RAI et consid. 7b supra). Le surcroît de temps journalier pour les traitements se monte en effet à 21 minutes, après déduction de 28 minutes consacrées aux contrôles de la glycémie (englobés dans la surveillance personnelle permanente équivalant à deux heures par jour). Les visites médicales et thérapeutiques ont en plus été retenues à hauteur de 3 minutes par jour. Le total du surcroît de temps quotidien totalise donc</w:t>
      </w:r>
    </w:p>
    <w:p>
      <w:r>
        <w:rPr>
          <w:b/>
        </w:rPr>
        <w:t>E. 24</w:t>
      </w:r>
    </w:p>
    <w:p>
      <w:r>
        <w:t>minutes quotidiennes. Même en prenant en compte les 28 minutes afférentes aux contrôles glycémiques pour parvenir à un surcroît de temps journalier de 52 minutes, on resterait très en deçà du seuil requis par l’art. 39 al. 1 RAI. 20. a) Sur le vu de ce qui précède, le recours doit être admis et la décision de l’intimé réformée, en ce sens que la recourante a droit à une allocation pour impotent de degré faible à compter du 1er novembre 2020.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l’intimé.</w:t>
      </w:r>
    </w:p>
    <w:p>
      <w:r>
        <w:t>- 30 - c) En outre, obtenant gain de cause avec l’assistance d’une mandataire professionnelle, la recourante peut prétendre à des dépens, fixés in casu à 3’000 fr. et portés à la charge de l’intimé (art. 55 al. 1 LPA- 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