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ZD22.008644 vom 14. August 2024</w:t>
      </w:r>
    </w:p>
    <w:p>
      <w:r>
        <w:t>VD Tribunal cantonal, 2024-08-14, FR</w:t>
      </w:r>
    </w:p>
    <w:p>
      <w:r>
        <w:rPr>
          <w:b/>
        </w:rPr>
        <w:t xml:space="preserve">Quelle: </w:t>
      </w:r>
      <w:r>
        <w:t>https://mcp.opencaselaw.ch/entscheid/vd_gerichte_ZD22.008644</w:t>
      </w:r>
    </w:p>
    <w:p>
      <w:r>
        <w:t>FR: VD_GERICHTE ZD22.008644 du 14 août 2024</w:t>
      </w:r>
    </w:p>
    <w:p>
      <w:r>
        <w:t>IT: VD_GERICHTE ZD22.008644 del 14 agosto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w:t>
      </w:r>
    </w:p>
    <w:p>
      <w:r>
        <w:t>- 17 -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w:t>
      </w:r>
    </w:p>
    <w:p>
      <w:r>
        <w:t>- 18 -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9C_803/2013 du 13 février 2014</w:t>
      </w:r>
    </w:p>
    <w:p>
      <w:r>
        <w:t>- 19 - consid. 3.1 ; TF 9C_298/2009 du 3 février 2010 consid. 2.2 et TF 9C_603/2009 du 2 février 2010 consid. 3.2).</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a) En l’espèce, aux termes de la décision attaquée, l’office intimé a retenu que la recourante disposait d’une capacité de travail entière dans une activité adaptée à ses limitations fonctionnelles, dès lors que son état de santé ne s’était pas aggravé au point d’avoir une incidence significative sur son droit à la rente tel que retenu dans la décision du 6 avril 2020. b) La recourante conteste cette appréciation en faisant valoir que ses problèmes de santé somatiques et psychiques excluent toute capacité de travail en quelque activité que ce soit. c) Il est constant que l’assurée s’est vu allouer une rente entière d’invalidité du 1er janvier 2015 au 30 avril 2015 puis une demi- rente d’invalidité du 1er mai 2015 au 30 juin 2015, eu égard aux atteintes aux épaules résultant des accidents dont elle avait été victime les 22 juin 2008 et 15 janvier 2014. Au regard de l’objet du présent litige, il n’y a pas lieu de revenir sur l’octroi de ces prestations, mais il convient d’examiner si, comme elle le prétend, son état de santé s’est aggravé entre la dernière décision de refus de prestations – entrée en force – du 6 avril 2020 et la décision querellée rendue le 1er février 2022. Le magistrat</w:t>
      </w:r>
    </w:p>
    <w:p>
      <w:r>
        <w:t>- 20 - instructeur a ainsi diligenté une expertise pluridisciplinaire auprès de l’Unité d'expertises U.________, à S.________.</w:t>
      </w:r>
    </w:p>
    <w:p>
      <w:r>
        <w:rPr>
          <w:b/>
        </w:rPr>
        <w:t>E. 8</w:t>
      </w:r>
    </w:p>
    <w:p>
      <w:r>
        <w:t>Il n’y a pas lieu de s’écarter des conclusions convaincantes de l’expertise judiciaire pluridisciplinaire réalisée par l’Unité d'expertises U.________. a) Sur le plan formel, le rapport d’expertise du 29 août 2023, tel que complété le 12 décembre 2023, et ses annexes répondent en tous points aux exigences jurisprudentielles en matière de valeur probante des rapports médicaux. Dans toutes les spécialités médicales, l’expertise est fondée sur des examens cliniques complets. Reposant sur une anamnèse circonstanciée (personnelle, familiale, professionnelle et psychosociale), elle a été établie en pleine connaissance du dossier médical mis à disposition. Les experts se sont en particulier exprimés sur les rapports des autres médecins ayant examiné la recourante, exposant le cas échéant pour quelles raisons ils s’écartaient de leur point de vue. En outre, les plaintes de la recourante ont été prises en considération. Par ailleurs, les experts ont discuté les options thérapeutiques envisageables, évalué la cohérence et l’authenticité de même qu’ils ont examiné la personnalité, les ressources et les difficultés de la recourante, y compris dans le cadre de l’accomplissement des tâches ménagères. L’appréciation de la situation médicale est claire et débouche sur des conclusions soigneusement motivées. aa) Sur le plan rhumatologique, l’examen clinique est marqué par des limitations algiques de la mobilisation des membres supérieurs des deux côtés. Cependant, le Dr B.________ n’a pas constaté d’amyotrophie focale visible ni de fasciculation musculaire. Il n’a pas non plus relevé d’inflammation des différentes articulations ni de rougeur, pas plus qu’il n’a observé un épaississement ou des crépitations au niveau des tendons d’Achille annoncés comme douloureux. Considérant l’infiltration graisseuse des muscles supra- et infra-épineux objectivée à l’IRM de l’épaule droite réalisée en juillet 2020, l’expert a jugé qu’elle pouvait témoigner d’une perte de fonction de ces muscles et d’une partie de la</w:t>
      </w:r>
    </w:p>
    <w:p>
      <w:r>
        <w:t>- 21 - mobilisation de l’épaule, notamment pour les mouvements de rotation externe, le maintien de l’humérus dans l’articulation gléno-humérale, et l’abduction du bras. Il a ainsi retenu des omalgies bilatérales chroniques dans le cadre d’une arthrose acromio-claviculaire, d’une tendinopathie et d’une rupture transfixiante de la coiffe des rotateurs, avec à droite une acromioplastie et une tendinoplastie du sous-épineux effectuées à deux reprises en 2008 et 2009, et une acromioplastie à l’épaule gauche réalisée en 2014. Tout en ne remettant pas en cause l’authenticité des douleurs diffuses de l’appareil locomoteur, l’expert a déclaré que le passage à la chronicité était difficile à expliquer d’un point de vue biomédical. Ainsi, les limitations fonctionnelles sévères rapportées par l’assurée contrastaient avec l’absence de raideur importante, de même qu’il existait une grande disparité entre les plaintes majeures et l’examen clinique relativement pauvre, hormis l’annonce de multiples douleurs. Dans la mesure où la douleur n’était pas mesurable et ne pouvait être ni prouvée ni réfutée médicalement, le Dr B.________ a jugé que les conditions psychosociales prenaient le pas sur la situation médicale. Il existait dès lors, selon lui, des interactions entre cognition, émotions, comportements, réactions corporelles et facteurs sociaux. Certes, la recourante présentait une ostéoporose, mais l’absence de fracture n’expliquait pas les douleurs diffuses alléguées, l’existence d’une tumeur ou d’un cancer ayant par ailleurs été écartée. Dans ce contexte, à l’instar du Dr C.________, le Dr B.________ a retenu le diagnostic de syndrome polyalgique idiopathique diffus ou fibromyalgie. bb) Sous l’angle psychiatrique, le Dr M.________ n’a pas observé, durant l’entretien, de ralentissement, ni de fatigue ou de fatigabilité, pas plus qu’il n’a mis en évidence un trouble de l’attention ou de la vigilance. Il n’y avait pas non plus de trouble grossier de la mémoire ou de la concentration, ni de trouble du langage. L’assurée était orientée aux quatre modes (quant au temps, à l’espace, à elle-même et à la situation). Le discours était structuré, cohérent, contributif et participatif. Le focus était conservé et partagé, l’interlocuteur se sentant pris en compte. Les éléments factuels étaient rapportés de manière un peu désordonnée mais pouvaient facilement être clarifiés par des questions</w:t>
      </w:r>
    </w:p>
    <w:p>
      <w:r>
        <w:t>- 22 - ciblées. Si les éléments affectifs étaient relatés de manière sommaire, ils étaient néanmoins présents. L’expert n’a pas non plus constaté de signes ou de symptômes de la lignée psychotique, en particulier pas de trouble du Moi, pas de trouble formel de la pensée ni d’éléments délirants. La thymie était par moments abaissée mais elle restait néanmoins modulable avec une bonne adéquation idéo-affective. Les plaintes d’ordre somatique étaient énoncées avec authenticité, tandis qu’il n’y avait pas de plainte de nature psychologique, hormis une tristesse liée à l’état de santé et aux limitations entraînées par celui-ci. L’examen psychiatrique et l’anamnèse ont permis au Dr M.________ d’exclure un trouble de la personnalité, de même qu’un état anxio-dépressif réactionnel et un trouble dépressif récurrent, tels qu’évoqués par les Drs P.________ et Z.________. L’expert a également écarté l’existence d’un syndrome somatoforme douloureux persistant en l’absence de détresse et de stresseurs psychosociaux majeurs. En revanche, il a retenu le diagnostic de dysthymie en présence d’une altération légère de l’humeur et d’une fluctuation de celle-ci. Il a encore relevé qu’il n’y avait pas de traitement psychiatrique, ni de médication psychotrope en cours et qu’il n’y en avait jamais eu. cc) Du point de vue de la médecine interne générale, la Dre X.________ a relevé le bon état général de l’assurée, celle-ci étant afébrile, anictérique et sans adénopathie. L’auscultation cardiaque était physiologique, sans signe d’insuffisance cardiaque, le pouls étant régulier à 65 battements par minute. Au status pulmonaire, l’auscultation et la percussion étaient physiologiques, l’intéressée étant eupnéique. S’agissant du status digestif, l’abdomen était plat, souple et indolore, sans hépato-splénomégalie. Au status neurologique, l’assurée était bien orientée dans le temps et l’espace ; les nerfs crâniens étaient sans particularité ; les réflexes ostéotendineux étaient très vifs et symétriques ; la force et la sensibilité étaient conservées aux quatre membres ; la coordination était correcte mais difficile à réaliser avec le membre supérieur droit ; le Romberg et le Mingazzini étaient bien tenus mais le membre supérieur droit ne pouvait être maintenu à l’horizontale en raison des douleurs. Quant au status locomoteur, la Dre X.________ a constaté une diminution de l’amplitude des mouvements des épaules, surtout à</w:t>
      </w:r>
    </w:p>
    <w:p>
      <w:r>
        <w:t>- 23 - droite. A la demande, l’assurée parvenait à peine à lever le membre supérieur droit à 30°. La distance pouce-C7 à gauche était de 5/40 cm, alors qu’à droite ce mouvement était impossible à effectuer. L’abduction à gauche était possible jusqu’à 90°, tandis que l’abduction du membre supérieur droit était d’environ 45°. La palpation du rachis était très légèrement douloureuse au niveau cervical, mais indolore aux niveaux dorsal et lombaire. Les mouvements de rotation de la nuque étaient sans particularité. La distance menton-sternum était de 0/25 cm. Il n’y avait pas d’inflammation des articulations périphériques. La palpation des tendons d’Achille était douloureuse des deux côtés, mais sans signe inflammatoire visible. De même, la palpation de la zone métatarsienne du pied gauche était douloureuse, mais sans inflammation perceptible. La Dre X.________ a encore relevé que tous les points de fibromyalgie étaient décrits comme douloureux à la pression, tout comme les points contrôlés. dd) Dans leur évaluation consensuelle, les experts ont exposé que le problème principal de l’assurée était d’ordre rhumatologique. En effet, elle présentait des douleurs diffuses prédominant au niveau de l’épaule droite et de la cheville gauche, sans notion de tuméfaction articulaire ni de raideur matinale. Le fond douloureux était chronique, diurne et nocturne, avec une intensité douloureuse estimée en moyenne entre 50 et 100 mm sur l’échelle visuelle analogique graduée de 0 à 100 mm. Il n’en demeurait pas moins que le passage à la chronicité des douleurs était difficilement explicable médicalement. A l’instar du Dr K.________ et du Prof. H.________, les experts ont retenu une aggravation et une diffusion des douleurs dès le début de l’année 2020, ayant conduit ces médecins à retenir l’existence d’un syndrome polyalgique idiopathique diffus. Un tel diagnostic ne remettait cependant pas en cause l’authenticité des plaintes de l’assurée même si, malgré l’annonce de douleurs diffuses importantes, l’intéressée ne prenait pas de médication antalgique en continu. L’assurée estimait qu’elle n’était plus en mesure d’utiliser son membre supérieur droit, alors même que ses difficultés n’étaient pas explicables par des atteintes objectives. L’examen clinique avait du reste permis aux experts de constater que la recourante parvenait à mobiliser le membre supérieur droit pour se déshabiller.</w:t>
      </w:r>
    </w:p>
    <w:p>
      <w:r>
        <w:t>- 24 - Certes, il existait des limitations concernant le ménage, mais l’assurée bénéficiait de l’aide de son époux et de sa fille, tout en continuant à pouvoir sortir son chien, préparer les repas et conduire une voiture. A ces ressources, il convenait d’ajouter une très bonne intégration en Suisse et une remarquable maîtrise du français. Compte tenu de l’échec des mesures professionnelles à 100 % et dans la mesure où le syndrome douloureux chronique nécessitait des pauses supplémentaires pour des changements de positions et des étirements, les experts ont jugé que la recourante disposait d’une capacité de travail de 80 % dans une activité adaptée aux limitations fonctionnelles décrites. Il n’y avait enfin pas de limitations fonctionnelles psychiatriques, si bien qu’il n’y avait pas d’indication à un traitement relevant de ce registre. b) aa) La recourante ne fait pas état d'éléments cliniques ou diagnostiques concrets et objectivement vérifiables qui auraient été ignorés dans le cadre de l’expertise de l’Unité d'expertises U.________ et suffisamment pertinents pour en remettre en cause le bien-fondé des conclusions médicales. En se limitant à faire valoir son appréciation divergente de la situation, son argumentation ne tend en définitive qu’à substituer son propre point de vue à celui des experts sans expliquer les raisons objectives pour lesquelles elle estime qu’il faut s’écarter de leurs conclusions. bb) Par ailleurs, quoi qu'en dise la recourante, l'expertise de l’Unité d'expertises U.________ est exempte de contradictions et d'incohérences. Conformément au mandat qui leur avait été confié, les experts se sont prononcés sur la capacité de travail de l'intéressée dans l'activité habituelle ainsi que dans une activité adaptée à ses limitations fonctionnelles. Dans leur évaluation consensuelle, ils ont jugé que la capacité de travail était nulle depuis le mois de novembre 2017 dans l’ancienne activité d’employée d’entretien et d’aide à la cantine. Ils ont ensuite décrit les limitations fonctionnelles induites par les pathologies rhumatologiques, en exposant que la recourante était en mesure d'exercer une activité légère, évitant si possible les mouvements répétitifs des épaules mais permettant l’alternance des positions. Quant au fait que</w:t>
      </w:r>
    </w:p>
    <w:p>
      <w:r>
        <w:t>- 25 - l’assurée ne devait être soumise à aucun rendement, ils ont expliqué qu’elle ne devait être soumise à aucun travail à la chaîne ni satisfaire à des exigences de performance en lien avec la capacité de travail. Les experts ont conclu que, dans cette mesure, la capacité de travail dans une activité adaptée était de 80 % depuis le début de l’année 2020, époque à laquelle ont été mentionnées une aggravation et une diffusion des douleurs ayant fondé le diagnostic de syndrome polyalgique idiopathique diffus. Cette appréciation ne prête pas le flanc à la critique. cc) Enfin, comme la recourante l’admet d’ailleurs elle-même, la présente procédure n’est pas le lieu pour se prononcer sur la question de l’existence d’une activité adaptée sur le marché équilibré du travail, ni sur celle du salaire susceptible d’en être retiré, faute pour la décision attaquée de se prononcer sur ces points (ATF 144 II 359 consid. 4.3; 142 I 155 consid. 4.4.2 ; 134 V 418 consid. 5.2.1). Au demeurant, ces éléments, de même que le calcul du degré d’invalidité en découlant, ont fait l’objet de la décision du 6 avril 2020, entrée en force. c) C’est donc à juste titre que l’office intimé a nié l’existence d’une aggravation de l’état de santé de la recourante susceptible d’influencer son droit à la rente entre le 6 avril 2020 et la décision litigieuse du 1er février 2022.</w:t>
      </w:r>
    </w:p>
    <w:p>
      <w:r>
        <w:rPr>
          <w:b/>
        </w:rPr>
        <w:t>E. 9</w:t>
      </w:r>
    </w:p>
    <w:p>
      <w:r>
        <w:t>Cela étant, le présent arrêt ne préjuge pas de l’existence d’une aggravation de l’état de santé de la recourante qui serait survenue postérieurement à la décision dont est recours. Il appartiendra à la recourante de produire, dans le cadre d’une éventuelle nouvelle demande de prestations, des rapports médicaux qui fonderaient sans équivoque une péjoration objective de son état de santé, respectivement de sa capacité de travail, péjoration qui ne tienne pas à une symptomatologie douloureuse qui pourrait être traitée avec la compliance de l’intéressée.</w:t>
      </w:r>
    </w:p>
    <w:p>
      <w:r>
        <w:rPr>
          <w:b/>
        </w:rPr>
        <w:t>E. 10</w:t>
      </w:r>
    </w:p>
    <w:p>
      <w:r>
        <w:t>En définitive, le recours, mal fondé, doit être rejeté et la décision attaquée confirmée.</w:t>
      </w:r>
    </w:p>
    <w:p>
      <w:r>
        <w:t>- 26 -</w:t>
      </w:r>
    </w:p>
    <w:p>
      <w:r>
        <w:rPr>
          <w:b/>
        </w:rPr>
        <w:t>E. 11</w:t>
      </w:r>
    </w:p>
    <w:p>
      <w:r>
        <w:t>a)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