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ZD22.007746 vom 21. Juni 2022</w:t>
      </w:r>
    </w:p>
    <w:p>
      <w:r>
        <w:t>VD Tribunal cantonal, 2022-06-21, FR</w:t>
      </w:r>
    </w:p>
    <w:p>
      <w:r>
        <w:rPr>
          <w:b/>
        </w:rPr>
        <w:t xml:space="preserve">Quelle: </w:t>
      </w:r>
      <w:r>
        <w:t>https://mcp.opencaselaw.ch/entscheid/vd_gerichte_ZD22.007746</w:t>
      </w:r>
    </w:p>
    <w:p>
      <w:r>
        <w:t>FR: VD_GERICHTE ZD22.007746 du 21 juin 2022</w:t>
      </w:r>
    </w:p>
    <w:p>
      <w:r>
        <w:t>IT: VD_GERICHTE ZD22.007746 del 21 giugno 2022</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w:t>
      </w:r>
    </w:p>
    <w:p>
      <w:r>
        <w:t>- 15 -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 notion d’invalidité est, en principe, identique en matière d’assurance-accidents et d’assurance-invalidité (principe d’uniformité de la notion d’invalidité ; cf. MARGIT MOSER-SZELESS in DUPONT/MOSER-SZELESS [éd.], Commentaire romand de la loi sur la partie générale des assurances sociales, Bâle 2018, nos 6 et 8 ad art. 8 LPGA).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c)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- 16 - moins 40 % en moyenne durant une année sans interruption notable et si, au terme de cette année, il est invalide à 40 % au moins (art. 28 al. 1 LAI). Pour évaluer le taux d’invalidité,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(art. 16 LPGA).</w:t>
      </w:r>
    </w:p>
    <w:p>
      <w:r>
        <w:rPr>
          <w:b/>
        </w:rPr>
        <w:t>E. 4</w:t>
      </w:r>
    </w:p>
    <w:p>
      <w:r>
        <w:t>a) Des modifications législatives et réglementaires sont entrées en vigueur au 1er janvier 2022 dans le cadre du « développement continu de l'AI » [Développement continu de l’AI], modification du 19 juin 2020, RO 2021 705, et règlement sur l’assurance-invalidité [RAI], modification du 3 novembre 2021, RO 2021 706). b) L’art. 28a al. 1 LAI, qui impose l’application de l’art. 16 LPGA à l’évaluation de l’invalidité des assurés exerçant une activité lucrative et délègue au Conseil fédéral la compétence de fixer le revenu déterminant pour l’évaluation de l’invalidité, a été complété par une nouvelle délégation de compétence au Conseil fédéral pour fixer les facteurs de correction applicables, entrée en vigueur le 1er janvier 2022. Par ailleurs, dans sa version en vigueur jusqu’au 31 décembre 2021, l’art 28 al. 2 LAI dispose qu’un taux d’invalidité de 40 % donne droit à un quart de rente, un taux d’invalidité de 50 % au moins donne droit à une demi-rente, un taux d’invalidité de 60 % au moins donne droit à trois- quarts de rente et un taux d’invalidité de 70 % au moins donne droit à une rente entière. Il a été abrogé avec effet au 1er janvier 2022, date de l’entrée en vigueur de l’art. 28b LAI selon lequel,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 Enfin, pour un taux d’invalidité inférieur à 50 %, la quotité de la rente est échelonnée de 25% à 47,5% en fonction du degré unitaire du taux d’invalidité (al. 4).</w:t>
      </w:r>
    </w:p>
    <w:p>
      <w:r>
        <w:t>- 17 - c) Aux termes de l’art. 17 al. 1 LPGA dans sa version en vigueur jusqu’au 31 décembre 2021, si le taux d’invalidité du bénéficiaire de la rente subit une modification notable, la rente est, d’office ou sur demande, révisée pour l’avenir, à savoir augmentée ou réduite en conséquence, ou encore supprimée alors que dans sa version en vigueur dès le 1er janvier 2022,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A l’inverse,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(art. 88a al. 2 RAI). Ces dispositions sont applicables, par analogie, lorsqu’un office de l’assurance- invalidité alloue, avec effet rétroactif, une rente d’invalidité temporaire ou échelonnée (ATF 133 V 263 consid. 6.1 ; 131 V 164 consid. 2.2 ; 125 V 413 consid. 2d). d) En l’espèce, le droit à la rente était ouvert au plus tôt le 1er juillet 2019 et a pris naissance le 1er septembre 2019 pour être supprimé au 30 avril 2020. La décision administrative litigieuse a été rendue le 19 janvier 2022. Selon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w:t>
      </w:r>
    </w:p>
    <w:p>
      <w:r>
        <w:t>- 18 - Selon le texte de la let. b al. 1 des dispositions transitoires de la modification du 19 juin 2020, intitulée « Adaptation des rentes en cours pour les bénéficiaires âgés de moins de 55 ans »,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Cette disposition transitoire ne paraît pas pouvoir régler la situation litigieuse, en présence d’un droit à la rente né avant la modification législative, d’un recourant qui n’avait pas encore atteint 55 ans à la date du 1er janvier 2022, mais qui perçoit une rente limitée dans le temps, entrainant pour corollaire qu’il n’est plus bénéficiaire d’une rente à la date du 1er janvier 2022, la décision du 19 janvier 2022 octroyant puis supprimant la rente n’étant cependant pas exécutoire. En l’état, la question de savoir si l’ancien droit demeure applicable, compte tenu de la date de la naissance du droit à la rente, peut rester ouverte dans la mesure où la décision litigieuse doit être annulée (cf consid. 7d ci-dessous)</w:t>
      </w:r>
    </w:p>
    <w:p>
      <w:r>
        <w:rPr>
          <w:b/>
        </w:rPr>
        <w:t>E. 5</w:t>
      </w:r>
    </w:p>
    <w:p>
      <w:r>
        <w:t>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w:t>
      </w:r>
    </w:p>
    <w:p>
      <w:r>
        <w:t>- 19 - en considération s’il a trait à la situation antérieure à cette date (ATF 99 V 98 consid. 4 ; TF 8C_239/2020 du 19 avril 2021 consid. 7.2.1).</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- 20 -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7</w:t>
      </w:r>
    </w:p>
    <w:p>
      <w:r>
        <w:t>a) En l’espèce, l’autorité intimée a alloué une rente entière d’invalidité limitée dans le temps pour la période courant du 1er septembre 2019 au 30 avril 2020 et a refusé de mettre en œuvre des mesures professionnelles, au motif qu’à partir de janvier 2020, le recourant dispose d’une capacité de travail de 100 % dans une activité adaptée aux limitations fonctionnelles de ses épaule et main gauches. Après comparaison des revenus, le degré d’invalidité de 12,75 %, supprime le droit à la rente entière avec effet au 1er mai 2020, soit trois mois après l’amélioration de la capacité de gain (cf. art. 88a al. 1 RAI). Dès lors que l’exercice d’activités ne nécessitant pas de formation particulière sont à la portée de l’assuré, sans qu’un préjudice économique important ne subsiste, le droit à des mesures d’ordre professionnel n’est pas ouvert. Cette décision se base en particulier sur les constatations et conclusions du rapport d’examen final du 8 janvier 2020 de la Dre J.________, médecin d’arrondissement de la CNA, confirmées selon l’OAI par les éléments figurant à son dossier (cf. avis médical du 19 mai 2021 du Dr D.________). De son côté, le recourant conteste disposer d’une capacité de travail résiduelle telle que prise en compte par l’intimé dans sa décision. Dans un premier moyen, il plaide que son état de santé physique s’est péjoré depuis l’examen clinique du 8 janvier 2020. Ce faisant, il oppose les rapports de ses médecins traitants à celui antérieur du médecin d’arrondissement de la CNA.</w:t>
      </w:r>
    </w:p>
    <w:p>
      <w:r>
        <w:t>- 21 - b) En l’occurrence, l’OAI octroie une rente entière limitée dans le temps, en se fondant sur l’appréciation de la Dre J.________, médecin d’arrondissement de la CNA qui retient une capacité de travail entière dans une activité adaptée aux limitations fonctionnelles, capacité de travail résiduelle qu’a confirmée le médecin traitant (rapport du 10 mars 2020 du Dr E.___________). Dans le cadre de son instruction du cas, la CNA a soumis l’assuré à un examen final effectué en date du 8 janvier 2020 par son médecin d’arrondissement. Sur la base de ses propres constatations cliniques et la lecture du dossier à sa disposition, la Dre J.________ a posé les diagnostics de douleurs et raideurs des doigts de la main gauche dans les suites d’une luxation des IPP (interphalangiennes) de D2 et D4, et de l’IPD (interphalangienne distale) de D3 survenue à la suite d’un traumatisme de la main gauche le 1er septembre 2018, de douleurs de l’épaule gauche (avec légère diminution de la mobilité dans toutes les directions dans les suites d’un traumatisme de l’épaule gauche ayant entraîné une lésion antérieure du supra-épineux, un œdème du trochiter compatible avec une contusion osseuse, une bursite acromio-deltoïdienne et une décompensation arthrosique de l’articulation acromio-claviculaire visible à l’arthro-IRM du 28 novembre 2018), de réduction des luxations des doigts le 2 septembre 2018, et d’infiltration acromio-claviculaire et sous-acromiale de l’épaule gauche le 21 décembre 2018. c) aa) S’agissant de l’épaule gauche, il ne ressort pas du rapport du [...] du 29 octobre 2021 l’existence de diagnostics qui auraient été ignorés par la Dre J.________. Ce rapport d’imagerie ne permet cependant pas à lui seul de considérer que les compétences de l’épaule gauche ne seraient pas identiques à celles décrites par la Dre J.________, plus exactement que les limitations fonctionnelles seraient plus importantes, ni l’inverse, en l’absence d’examen clinique. bb) Concernant la main, si l’électroneuromyographie du 28 septembre 2021 est proche de la normale, le Dr O.________ mentionne cependant une neuropathie du tunnel carpien gauche, minime, mais</w:t>
      </w:r>
    </w:p>
    <w:p>
      <w:r>
        <w:t>- 22 - n’expliquant pas l’entier de la symptomatologie de la main gauche. Los de la consultation subséquente (du 14 décembre 2021) auprès de la Dre W.________, celle-ci soupçonne un CRPS (Complex Regional pain syndrome ou syndrome douloureux régional complexe) sur la base des signes dystrophiques, qui n’existaient pas le 8 janvier 2020, et procède à une infiltration locale de cortisone au canal carpien gauche, sans effet, au vu du rapport médical du 1er mars 2022, qui décrit toujours un aspect dystrophique de la main gauche lors de la consultation du 18 janvier 2022. L’examen clinique porte également sur le nerf ulnaire. Le constat clinique du 18 janvier 2022, soit antérieur à la décision litigieuse, débouche sur un examen complémentaire (un ultrason du 28 janvier 2022) puis une opération (une décompression du nerf médian au canal carpien gauche et une neurolyse du nerf ulnaire au coude gauche avec transposition antérieure sans résultat garanti, ni amélioration directe de la raideur digitale) certes tous deux postérieurs à la décision litigieuse du 19 janvier 2022 mais relatifs à une atteinte évoquée par un examen clinique antérieur à cette décision, examen au demeurant requis bien avant par le médecin traitant. En de telles circonstances, étant rappelé la jurisprudence (cf. consid. 5 ci-dessus), il ne peut être soutenu qu’il s’agit-là d’une situation postérieure à la décision attaquée. d) Au vu des pièces actuelles au dossier, étant rappelé qu’il n’appartient pas au juge de se livrer à des conjectures qui relèvent strictement de la science médicale (cf. TF 9C_573/2009 du 16 décembre 2009 consid. 2.3), il n’incombe pas au juge de déterminer si cette neuropathie et le CRPS impactent le taux de capacité de travail résiduelle, cas échéant à partir de quand et pour quelle durée, ou modifient les limitations fonctionnelles, une telle appréciation relevant des compétences du corps médical. Sur ce point, l’avis SMR du 19 mai 2021 est inutile car antérieur aux consultations initiées à l’automne 2021, de telle sorte qu’il ne peut y être renvoyé pour justifier d’un rejet. A cela s’ajoute que la question de savoir si ces atteintes sont de même origine (art. 29bis RAI) que celles ayant fondé l’octroi de la rente entière ne peut être tranchée en l’absence d’informations médicales exhaustives. Il ne saurait dès lors être</w:t>
      </w:r>
    </w:p>
    <w:p>
      <w:r>
        <w:t>- 23 - prétendu que ces atteintes entraînent un nouveau délai d’attente dont l’échéance serait postérieure à la décision litigieuse, avec pour corollaire qu’elles excèderaient l’objet du litige. L’instruction s’avère lacunaire sur l’évaluation de l’état de santé de l’assuré, respectivement son évolution depuis le dernier trimestre 2021, mais encore les éléments recueillis sont insuffisants pour se prononcer, sans autre complément d’instruction, sur la capacité de travail de l’intéressé. Les faits pertinents n’ont ainsi pas été constatés de manière complète. Compte tenu de ces carences, il convient d’annuler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appartiendra dès lors à l’intimé de compléter l’instruction médicale, dans un premier temps en requérant un rapport exhaustif auprès de la Dre W.________, cas échéant en ordonnant d’autres preuves, avant de statuer le moment venu à nouveau sur le droit aux prestations.</w:t>
      </w:r>
    </w:p>
    <w:p>
      <w:r>
        <w:rPr>
          <w:b/>
        </w:rPr>
        <w:t>E. 8</w:t>
      </w:r>
    </w:p>
    <w:p>
      <w:r>
        <w:t>a) En conséquence, le recours doit être admis et la décision attaquée annulée, la cause étant renvoyée à l’OAI afin qu’il en complète l’instruction dans le sens des considérants puis rende une nouvelle décision. Compte tenu de l’issue du litige, il n’est pas nécessaire de statuer en l’état sur les griefs du recourant en lien avec la détermination de son préjudice économique, respectivement sur le revenu avec invalidité et l’abattement de 10 % retenus par l’office intimé dans le calcul du degré d’invalidité.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Il n’y a pas lieu d’allouer des dépens, le recourant ayant procédé sans mandataire qualifié (ATF 127 V 205 consid. 4b).</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