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ZD22.006507 vom 22. Mai 2023</w:t>
      </w:r>
    </w:p>
    <w:p>
      <w:r>
        <w:t>VD Tribunal cantonal, 2023-05-22, FR</w:t>
      </w:r>
    </w:p>
    <w:p>
      <w:r>
        <w:rPr>
          <w:b/>
        </w:rPr>
        <w:t xml:space="preserve">Quelle: </w:t>
      </w:r>
      <w:r>
        <w:t>https://mcp.opencaselaw.ch/entscheid/vd_gerichte_ZD22.006507</w:t>
      </w:r>
    </w:p>
    <w:p>
      <w:r>
        <w:t>FR: VD_GERICHTE ZD22.006507 du 22 mai 2023</w:t>
      </w:r>
    </w:p>
    <w:p>
      <w:r>
        <w:t>IT: VD_GERICHTE ZD22.006507 del 22 maggio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w:t>
      </w:r>
    </w:p>
    <w:p>
      <w:r>
        <w:t>- 15 -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- 16 -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4.1</w:t>
      </w:r>
    </w:p>
    <w:p>
      <w:r>
        <w:t>de l’évaluation consensuelle ; ch. 2 de chaque expertise spécialisée ; ch. 7 de l’expertise de médecine physique et réadaptation). Le grief suivant concernait la retranscription du même avis SMR. Selon les pièces du dossier de l’intimé, c’est bien au Dr T.________ que la demande de rapport a été adressée le 7 octobre 2020 et le résumé du SMR omettait uniquement de préciser que la réponse avait été donnée par la</w:t>
      </w:r>
    </w:p>
    <w:p>
      <w:r>
        <w:t>- 19 - Dre D.________ dans un rapport enregistré le 23 octobre 2020 dans le dossier de l’OAI (doc. n° 35, pp. 168 s. et 170 s. du dossier de l’OAI). Les experts ont, pour leur part, relevé que le rapport du 23 octobre 2020 a été établi par la Dre D.________ (cf. ch. 2 de chaque expertise spécialisée). Les mentions de l’amendement des cervico-brachialgies et de l’absence d’incapacité de travail en lien avec l’ostéoporose provenaient également de l’avis SMR, retranscrit in extenso par les experts en tant qu’il donnait le motif et décrivait les circonstances de la demande d’expertise. Les experts ont toutefois bien noté que les cervico-brachialgies avaient persisté après l’opération, notamment au ch. 4.1 de l’évaluation consensuelle (p. 6 de l’évaluation consensuelle). Pour le surplus, la remarque de la Dre D.________ face à l’affirmation du SMR selon laquelle l’ostéoporose ne constituait pas en soi une atteinte incapacitante, ne peut que confirmer cette appréciation puisqu’elle a écrit que l’ostéoporose « est devenue » incapacitante depuis qu’il y a eu une fracture de la vertèbre dorsale. Quant à la critique de la Dre D.________ relative au paragraphe débutant par « Sur le plan médical » (ch. 4.1, p. 11 de l’évaluation consensuelle), elle paraît biaisée. Les experts ont mentionné que l’assurée ne pouvait prendre d’anti-inflammatoires en raison de troubles gastriques, mais n’ont pas indiqué qu’elle ne prenait aucune médication antidouleur. Les traitements médicamenteux ont été détaillés dans les expertises spécialisées à l’occasion des entretiens approfondis avec l’expertisée, complétés avec des renseignements pris le 22 avril 2021 auprès du secrétariat de la Dre D.________. Le Co-Dafalgan et le Tramadol n’y figurent pas, mais l’expertisée a indiqué prendre en moyenne 3 comprimés par jour de Dafalgan 1g (ch. 3.2, p. 15 de l’expertise de médecine physique et réadaptation ; ch. 3.2, p. 16 de l’expertise de médecine interne générale). Elle a en outre précisé au Dr H.________ qu’elle ne supportait pas le Tramal (ch. 6, p. 20 de l’expertise de médecine interne). Il n’en demeure pas moins que l’expert F.________ n’a pas noté d’incohérence entre les symptômes décrits et l’observation médicale (ch. 7.3 de son expertise). Une éventuelle erreur dans la retranscription de la médication n’a donc pas eu d’incidence sur le résultat de cette expertise. Enfin, la mention d’une perfusion d’Aclasta en mars 2021 figurait, d’une part, sur le rapport</w:t>
      </w:r>
    </w:p>
    <w:p>
      <w:r>
        <w:t>- 20 - de consultation du 21 janvier 2021 du Dr Q.________, médecin assistant au Service [...] du V.________, et la convocation du même service pour un traitement par Aclasta fixé le 5 mars 2021, que les experts se sont procurés en vue de leur expertise auprès du secrétariat de la Dre D.________ (pp. 300 et 321 du dossier OAI), ainsi que, d’autre part, sur les renseignements pris le 22 avril 2021 auprès du secrétariat de la Dre D.________ et l’entretien approfondi avec l’expertisée (ch. 3.2, p. 12 de l’expertise de médecine physique et réadaptation ; ch. 3.2, p. 16 de l’expertise de médecine interne générale). Ainsi, la mention de ce traitement reposait sur des éléments objectifs, non sur une éventuelle confusion de la part des experts. Au surplus, il faut relever que le Dr F.________ a validé le traitement résultant des informations recueillies pour l’expertise (ch. 7.2), mais n’a pas fait reposer son évaluation de la capacité de travail sur les bénéfices attendus d’injections d’Aclasta. Par conséquent, la question de savoir si l’injection a réellement eu lieu ou non n’a pas eu de conséquences sur le résultat de l’expertise. Ainsi, les remarques de la Dre D.________ ne permettent pas d’enlever toute valeur probante aux conclusions des experts somaticiens, lesquelles remplissent par ailleurs tous les réquisits posés par la jurisprudence en la matière. En effet, ces experts se sont fondés non seulement sur le dossier fourni par l’intimé, mais également sur des pièces médicales complémentaires qu’ils ont sollicitées auprès du secrétariat de la Dre D.________, ainsi que sur des analyses et imageries réalisées en cours d’expertise, pour avoir une parfaite compréhension de la situation. Ils ont tenu compte des plaintes de la recourante, leurs conclusions sont claires, étayées et reposent sur des constatations objectives. Quant à la durée de l’incapacité de travail totale dans une activité adaptée, les experts somaticiens ont expliqué les motifs pour lesquels ils n’ont retenu que des périodes limitées dans le temps, à savoir le temps de récupération des interventions gynécologique en 2005, pulmonaire en 2018, ainsi qu’en lien avec la problématique cervicale qui a motivé l’intervention du 27 février 2019. La période d’incapacité de travail retenue par le Dr F.________ pour cette dernière problématique couvre le moment où le diagnostic de névralgie cervico-brachiale C6-C7 droit a été</w:t>
      </w:r>
    </w:p>
    <w:p>
      <w:r>
        <w:t>- 21 - posé (août 2018) jusqu’au constat par le neurochirurgien de la disparition de la névralgie et de la préservation des mobilités actives et passives malgré la persistance de cervicalgies (juin 2019). Sur ce point, la recourante n’a mentionné aucun élément d’ordre médical susceptible de contredire cette appréciation. Rien ne permet dès lors de s’écarter des conclusions des expertises somatiques, qui jouissent d’une pleine valeur probante, étant au surplus précisé que la dernière période d’incapacité de travail dans toute activité a pris fin plusieurs mois avant la date à laquelle le droit à la rente pouvait prendre naissance. c) Sur le plan psychiatrique, l’expert psychiatre a également procédé sur la base du dossier de l’OAI, complété par les rapports médicaux, analyses sanguines et imageries médicales déjà mentionnés (supra let. b). La Dre L.________ a émis diverses critiques à l’égard de cette expertise. Elle a reproché en particulier le fait que la présence du père dans la vie de la recourante était surestimée et celle de sa mère sous- estimée, tandis que de graves carences affectives dans l’enfance n’auraient pas été prises en compte. Il convient à cet égard de relever que la recourante a été invitée par l’expert à s’exprimer librement, puis dans le cadre d’un entretien approfondi portant notamment sur l’enfance et les relations familiales. L’assurée a indiqué que ses parents avaient divorcé lorsqu’elle était jeune enfant, que son père était absent et sa mère distante, mais qu’elle n’avait « manqué de rien », qu’elle ne voyait son père qu’une fois par an parce qu’il vivait en [...], tandis que le reste de sa famille vivait en [...], sa mère étant en [...] et son frère à [...]. Ses dernières vacances, en 2020, s’étaient passées chez sa mère où elle s’était rendue en faisant étape chez son frère. Elle n’a pas relaté de problème relationnel particulier avec sa mère, qui vit relativement loin, ni de carence affective dans l’enfance. De tels éléments n’ont pas été mentionnés par la Dre L.________ dans son rapport du 11 septembre 2019, qui comprenait pourtant une anamnèse détaillée, ni dans celui du 15 décembre 2020. Il ne saurait dès lors être reproché à l’expert de ne pas avoir tenu compte d’éléments qui ne ressortent ni du dossier ni des</w:t>
      </w:r>
    </w:p>
    <w:p>
      <w:r>
        <w:t>- 22 - déclarations de la recourante au cours de l’examen. Quant aux consommations de cannabis, d’alcool et de cigarettes, la remarque de la psychiatre traitante est difficile à appréhender. L’expert a noté les déclarations de l’expertisée évoquant une consommation d’alcool et de cannabis problématique à une époque de sa vie, mais en a conclu qu’il n’y avait pas de notion de dépendance véritable puisqu’il n’y en avait plus depuis de nombreuses années. La consommation de cigarettes, toujours présente, a également été mentionnée, mais l’expert psychiatre n’a pas relevé qu’elle entraînait des difficultés sur le plan psychique et les rapports des psychothérapeutes traitantes ne font pas état de telles problématiques. La consommation de cigarettes figure également dans les expertises somatiques puisqu’il s’agit d’un facteur de risque de maladies somatiques. On ne distingue ainsi pas en quoi l’expertise psychiatrique comporterait une mauvaise évaluation des consommations d’alcool, de cannabis ou de cigarettes. Les autres remarques de la Dre L.________ concernaient le diagnostic et l’appréciation de la capacité de travail. Pour poser le diagnostic, l’expert psychiatre a procédé à un examen complet en suivant un schéma structuré. Il a ensuite posé son diagnostic de manière étayée, en s’appuyant sur l’anamnèse et les observations faites au cours de l’entretien. La psychiatre traitante n’a pas signalé de carences à ce niveau et a posé les mêmes diagnostics. La divergence réside dans le fait que, pour la Dre L.________, le trouble dépressif récurrent n’était pas en rémission, émettant l’hypothèse que l’expert avait rencontré la recourante « dans un de ses rares bons jours », alors que l’humeur anxio-dépressive était importante de façon continue et qu’elle présentait le plus souvent une importante détresse psychologique, avec une péjoration au fil des dernières années. Elle a noté que sa patiente souffrait d’une importante anhédonie, d’asthénie, de clinophilie, se réfugiant dans le sommeil diurne, et d’insomnies nocturnes dues aux douleurs somatiques. Il convient cependant de relever que la recourante a été invitée par l’expert psychiatre à exposer sa situation de la manière la plus précise possible, d’abord librement puis de manière ciblée. La description du déroulement de la journée type relatée dans l’expertise psychiatrique correspond à</w:t>
      </w:r>
    </w:p>
    <w:p>
      <w:r>
        <w:t>- 23 - celle décrite par la Dre L.________ dans son rapport du 15 décembre 2020, où il est évoqué une patiente qui se lève tôt en raison de ses douleurs mais se repose une ou deux heures dans l’après-midi, qui fait des exercices d’étirement pour soulager ses douleurs et va promener son chien trois fois par jour, qui effectue diverses tâches ménagères et prépare les repas pour elle-même et sa fille, qui gère entièrement les affaires et le traitement de sa fille. La Dre L.________ évoquait des « mauvaises journées » en raison de douleurs intenses, dont elle estimait la fréquence à trois à quatre fois par mois. Le rapport du 29 juillet 2022 dresse donc un tableau très différent sans toutefois donner d’élément permettant d’objectiver une telle péjoration par rapport à la situation décrite précédemment. Par ailleurs, l’hypothèse selon laquelle l’expertise psychiatrique aurait eu lieu sur un « rare » bon jour ne paraît pas plausible du fait de la convergence des constats de l’expert, d’une part, avec la description données par la Dre L.________ en décembre 2020 et, d’autre part, avec les observations faites par les autres experts, qui ont rencontré la recourante à des jours différents et n’ont pas observé de comportement algique, de signes de fatigue ou de tristesse, ni de baisse de l’attention. Il faut donc constater que les psychothérapeutes traitantes ont émis une appréciation divergente d’un même état de fait. Or la motivation du diagnostic donnée par l’expert psychiatre est convaincante, étant relevé qu’il a retenu que le trouble dépressif récurrent était actuellement en rémission grâce à un traitement efficace. Pour apprécier la capacité de travail, l’expert psychiatre a examiné les différents indicateurs fixés par la jurisprudence, dont en particulier les ressources et difficultés de la recourante. Il a relevé que l’intéressée assumait son rôle de proche-aidante, disposait de ressources personnelles et était autonome dans la gestion de ses activités quotidiennes. Contrairement à ce qu’a soutenu la Dre L.________ dans son rapport du 29 juillet 2022, l’expert a confirmé l’existence d’un trouble de la personnalité et en a tenu compte. Il a cependant observé que ce trouble était bien stabilisé depuis plusieurs années et paucisymptomatique, argumentation que la Dre L.________ n’a pas réellement contredite. En effet, si elle a évoqué l’anxiété ressentie par la recourante à l’approche de</w:t>
      </w:r>
    </w:p>
    <w:p>
      <w:r>
        <w:t>- 24 - l’expertise, elle a également admis que cette problématique avait pu être travaillée au cours des entretiens thérapeutiques et n’a pas fait part de la survenue d’une décompensation ou d’une crise. Enfin, les autres critiques émises par la Dre L.________ relevaient de la charge de proche-aidante assumée par la recourante à l’égard de sa fille adulte. Sans vouloir minimiser la tâche et les difficultés découlant de cette situation, il faut garder en mémoire le fait que, selon la jurisprudence, dans la mesure où des contraintes sociales ont directement des conséquences fonctionnelles négatives, elles doivent être mises de côté et que, d’autre part, des ressources mobilisables par la personne assurée peuvent être tirées du contexte de vie de ce dernier (cf. ATF 141 V 281 consid. 4.3 et les références citées). Tel est le cas de la charge de proche-aidant, qui montre que la recourante dispose de ressources personnelles, mais dont l’impact sur la capacité de travail doit être écarté dès lors qu’il n’est pas intrinsèquement lié à l’état de santé de la recourante, ce que l’expert a du reste explicité dans le complément du 17 août 2021. Les psychothérapeutes n’ayant pas dissocié cette problématique, leur appréciation de la capacité de travail ne peut être suivie et n’est donc pas de nature à remettre en cause les conclusions claires de l’expert psychiatre. d) En définitive, il apparaît que l’expertise pluridisciplinaire du J.________ jouit d’une pleine valeur probante. C’est dès lors à juste titre que l’intimé en a suivi les conclusions pour déterminer la capacité de travail de la recourante.</w:t>
      </w:r>
    </w:p>
    <w:p>
      <w:r>
        <w:rPr>
          <w:b/>
        </w:rPr>
        <w:t>E. 5</w:t>
      </w:r>
    </w:p>
    <w:p>
      <w:r>
        <w:t>a) En l’occurrence, il n’est pas contesté que la recourante n’est plus en mesure d’exercer son activité habituelle de serveuse. Se pose toutefois la question de savoir si elle conserve une capacité de travail</w:t>
      </w:r>
    </w:p>
    <w:p>
      <w:r>
        <w:t>- 17 - dans une activité adaptée, ce qu’elle réfute, et dans cette éventualité, de quelle étendue. b) Sur le plan somatique, la recourante soutient pour l’essentiel que l’instruction devrait être complétée, du fait de la survenance d’une fracture de tassement de la vertèbre D11 sur ostéoporose sévère entre l’expertise de J.________ et la décision attaquée. Or l’ostéoporose sévère de la recourante est connue. Elle a été prise en compte par les experts, qui ont retenu ce diagnostic, parmi d’autres. L’expert en médecine physique et réadaptation a relevé que l’ostéoporose était connue depuis cinq ans mais que la recourante n’avait pas accepté de traitement avant novembre 2020, époque où l’ostéodensitométrie avait montré une ostéoporose sévère (ch. 3 de l’expertise de médecine physique et réadaptation). Cela étant, les experts ont déterminé que les plaintes douloureuses de la recourante relevaient de la médecine physique et réadaptation et que la fatigue dont elle faisait état n’était pas objectivable (cf. ch. 6, p. 21 de l’expertise de médecine interne générale). Ainsi, les limitations fonctionnelles d’ordre somatique ont été déterminées par le Dr F.________, qui a noté de manière détaillée les douleurs décrites par la recourante, en particulier des céphalées et cervicalgies avec faiblesse dans le bras droit depuis 2016, des douleurs des mains dès 2018, des tendinites au niveau des coudes depuis deux ans, des difficultés à la marche en relation avec des douleurs des faces latérales des hanches apparues en novembre 2020, des douleurs de la face antérieures de la cuisse droite apparues en janvier 2021. L’expert a par ailleurs interrogé l’intéressée de manière ciblée et noté qu’elle déclarait pouvoir faire toutes les activités quotidiennes mais que celles-ci déclenchaient des douleurs, notamment passer l’aspirateur ou la serpillère. Il a pris note du déroulement de sa journée type, de l’organisation de ses loisirs, de ses besoins d’aide et de ses moyens de transport (ch. 3 de l’expertise de médecine physique et réadaptation), puis a procédé à son examen (ch. 4 de l’expertise de médecine physique et réadaptation). Il a constaté que l’ostéodensitométrie effectuée en novembre 2020 montrait un risque de fracture ostéoporotique de 21 % et</w:t>
      </w:r>
    </w:p>
    <w:p>
      <w:r>
        <w:t>- 18 - de hanche à 7,1 %. Sur la base de l’ensemble des renseignements récoltés, l’expert a déterminé des limitations fonctionnelles concernant en particulier l’épargne au niveau du rachis cervical. Les nouvelles pièces médicales produites par la recourante font certes état d’une fracture tassement de vertèbre. Toutefois, comme l’a relevé le Dr Z.________ du SMR dans son avis du 16 septembre 2022, les limitations fonctionnelles déjà retenues et la période d’incapacité de travail afférente n’ont pas été durablement impactés. Il n’y avait pas d’indication chirurgicale et le port d’un corset pendant deux mois a été proposé. Dans son rapport du 25 juillet 2022, la Dre D.________ a principalement relayé l’ensemble des plaintes douloureuses de sa patiente déjà prises en compte par l’expert, de sorte que ses conclusions à cet égard relèvent d’une appréciation différente d’un même état de fait. S’agissant plus particulièrement de la nouvelle fracture tassement, la médecin généraliste traitante n’a pas déterminé de limitation fonctionnelle durable supplémentaire qui en découlerait. Par ailleurs, le fait que la fracture peinerait à se consolider relève de l’évolution postérieure à la décision litigieuse, qui ne peut être prise en compte dans le présent examen mais doit faire, cas échéant, l’objet d’une nouvelle demande. Pour le surplus, la recourante a relayé certaines critiques qui auraient été émises par la Dre D.________ sur le rapport d’évaluation consensuelle. La première concernait la retranscription erronée du nom de la Dre K.________. Cependant, dans la mesure où le contenu du rapport de cette médecin a été correctement résumé, il s’agissait d’une simple erreur de plume. Du reste, cette erreur se trouve dans la retranscription de l’avis SMR du 6 janvier 2021 et le nom de cette médecin a été écrit correctement lorsque les experts ont cité directement son rapport (cf. ch.</w:t>
      </w:r>
    </w:p>
    <w:p>
      <w:r>
        <w:rPr>
          <w:b/>
        </w:rPr>
        <w:t>E. 6</w:t>
      </w:r>
    </w:p>
    <w:p>
      <w:r>
        <w:t>La recourante n’a émis aucun grief à l’encontre du calcul du degré d’invalidité opéré par l’intimé. Dans la mesure où la recourante n’a plus exercé d’activité lucrative depuis 2009, les données salariales du dernier emploi ne sont plus exploitables (cf. notamment TF 9C_267/2012 du 26 novembre 2012 consid. 3.2 ; 9C_900/2009 du 27 avril 2010 consid. 3.2 ; Margit Moser- Szeless, in Dupont/Moser-Szeless [édit.], Loi sur la partie générale des assurances sociales, Commentaire romand, Bâle 2018, n° 25 et n° 33 ad</w:t>
      </w:r>
    </w:p>
    <w:p>
      <w:r>
        <w:t>- 25 - art. 16). Il se justifiait ainsi de recourir au même chiffre de l’Enquête suisse sur la structure des salaires (ESS), tableau TA1_skill_level, niveau de qualification 1, pour les deux termes de la comparaison. Par ailleurs, compte tenu des éléments du dossier, l’abattement de 10 % opéré par l’intimé sur le revenu avec invalidité pour tenir compte des limitations fonctionnelles peut être validé. Cela étant, il convient de relever que l’intimé aurait dû utiliser l’ESS 2018, ajusté à la durée moyenne du travail en Suisse et indexé à 2019, dès lors que la situation devait être examinée au moment déterminant de la naissance éventuelle du droit à la rente (cf. ATF 134 V 322 consid. 4.2 ; 129 V 222), soit novembre 2019. Il n’en demeure pas moins que le calcul aurait abouti au même résultat qu’avec l’ESS 2016 adapté à 2017, vu le parallélisme des revenus avec et sans invalidité. Se confondant avec l’abattement sur le revenu d’invalide, le degré d’invalidité s’élève à 10 %, ce qui est insuffisant pour ouvrir un droit aux prestations de l’assurance-invalidité.</w:t>
      </w:r>
    </w:p>
    <w:p>
      <w:r>
        <w:rPr>
          <w:b/>
        </w:rPr>
        <w:t>E. 7</w:t>
      </w:r>
    </w:p>
    <w:p>
      <w:r>
        <w:t>A titre de mesure d’instruction, la recourante a requis la mise en œuvre d’une expertise médicale judiciaire. Comme démontré plus avant, les éléments au dossier sont suffisants pour permettre à la Cour des assurances sociales de renoncer à requérir un complément d’instruction sous la forme d’une telle expertise. Par conséquent, il n’y a pas lieu de donner suite à la requête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t>- 26 -</w:t>
      </w:r>
    </w:p>
    <w:p>
      <w:r>
        <w:rPr>
          <w:b/>
        </w:rPr>
        <w:t>E. 8</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 c) La partie recourante est au bénéfice de l’assistance judiciaire. Les frais judiciaires mis à sa charge ci-avant sont donc provisoirement supportés par l’Etat et Me Karim Armand Hichri peut prétendre une équitable indemnité pour son mandat d’office, qu’il convient de fixer à 2'239 fr. 10, débours et TVA compris (art. 2, 3 al. 2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