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ZD22.003876 vom 21. November 2022</w:t>
      </w:r>
    </w:p>
    <w:p>
      <w:r>
        <w:t>VD Tribunal cantonal, 2022-11-21, FR</w:t>
      </w:r>
    </w:p>
    <w:p>
      <w:r>
        <w:rPr>
          <w:b/>
        </w:rPr>
        <w:t xml:space="preserve">Quelle: </w:t>
      </w:r>
      <w:r>
        <w:t>https://mcp.opencaselaw.ch/entscheid/vd_gerichte_ZD22.003876</w:t>
      </w:r>
    </w:p>
    <w:p>
      <w:r>
        <w:t>FR: VD_GERICHTE ZD22.003876 du 21 novembre 2022</w:t>
      </w:r>
    </w:p>
    <w:p>
      <w:r>
        <w:t>IT: VD_GERICHTE ZD22.003876 del 21 novembre 2022</w:t>
      </w:r>
    </w:p>
    <w:p>
      <w:pPr>
        <w:pStyle w:val="Heading2"/>
      </w:pPr>
      <w:r>
        <w:t>Erwägungen</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Dans sa décision du 15 décembre 2021, l’office intimé s’est prononcé sous l’angle du droit à des mesures professionnelles et de celui à une rente d’invalidité, considérant sur la base de l’expertise psychiatrique du Dr T.________ que ces prestations n’entraient pas en ligne de compte en l’absence d’atteinte à la santé invalidante. La recourante a contesté cette appréciation, d’une part, en faisant valoir que l’expertise précitée était dépourvue de valeur probante et, d’autre part, en se prévalant de son âge pour solliciter à tout le moins l’octroi de mesures professionnelles.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w:t>
      </w:r>
    </w:p>
    <w:p>
      <w:r>
        <w:t>- 13 - espèces (Message du 22 juin 2005 concernant la modification de la loi fédérale sur l'assurance-invalidité [5e révision de l'AI], FF 2005 4223 ch. 1.1.1.2). L'examen d'un éventuel droit à des prestations de l'assurance- invalidité doit par conséquent procéder d'une démarche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(ATF 138 I 205 consid. 3.1 et la référence citée).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aa) Aux termes de l’art. 15 LAI (dans sa teneur en vigueur au 31 décembre 2021),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w:t>
      </w:r>
    </w:p>
    <w:p>
      <w:r>
        <w:t>- 14 -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 114 V 29 consid. 1a ; TF 9C_534/2010 du 10 février 2011 consid. 3.2 et les références citées). bb) Selon l’art. 16 al. 1 LAI (dans sa teneur en vigueur au 31 décembre 2021),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RAI (règlement du 17 janvier 1961 sur l’assurance-invalidité ; RS 831.201) dans sa teneur en vigueur au 31 décembre 2021, sont réputées formation professionnelle initiale toute formation professionnelle initiale au sens de la loi fédérale du 13 décembre 2002 sur la formation professionnelle (LFPr ; RS 412.10),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Lorsque l’octroi des contributions selon l’art. 16 LAI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Il en va de même</w:t>
      </w:r>
    </w:p>
    <w:p>
      <w:r>
        <w:t>- 15 - lorsque l’assuré qui a entrepris une formation de sa propre initiative demande des prestations de l’assurance-invalidité (Michel Valterio, Commentaire de la Loi fédérale sur l’assurance-invalidité [LAI], Genève/Zurich/Bâle 2018, n° 4 ad art. 16 LAI ; Ulrich Meyer/Marco Reichmuth, Bundesgesetz über die Invalidenversicherung [IVG], 3e éd., Zurich/Bâle/Genève 2014, n° 5 ad art. 16, ; TF 9C_745/2008 du 2 décembre 2008 consid. 3.2). cc)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w:t>
      </w:r>
    </w:p>
    <w:p>
      <w:r>
        <w:t>- 16 -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et les références citées). c) Pour délimiter le droit aux prestations de l’art. 16 LAI de celui découlant de l’art. 17 LAI, il faut se demander si l’assuré a déjà ou n’a pas encore exercé une activité lucrative avant de devenir invalide suite à la survenance de l’événement assuré. Il faut, pour ce faire, prendre en considération uniquement une activité lucrative déterminante d’un point de vue économique. On doit considérer que la condition (donnant droit au reclassement) d’une activité lucrative économiquement importante est réalisée si l’assuré a gagné pendant six mois un salaire équivalent aux trois quarts du minimum de la rente AI simple ordinaire et complète et qu’il a perdu ce revenu à cause de son invalidité. Il n’est donc pas déterminant que l’assuré ait ou non exercé une activité lucrative au moment où est survenu le cas d’assurance ; il s’agit bien plutôt de savoir si, après avoir terminé sa formation professionnelle initiale, il a ou non, à un moment donné, exercé une activité lucrative d’une certaine importance économique. Lorsqu’une formation initiale a dû être interrompue en raison de l’invalidité, une nouvelle formation est assimilée à un reclassement si le revenu acquis en dernier lieu par l’assuré durant la formation</w:t>
      </w:r>
    </w:p>
    <w:p>
      <w:r>
        <w:t>- 17 - interrompue était supérieur à l’indemnité journalière prévue par l’art. 23 al. 2 LAI (art. 6 al. 2 RAI). Une formation professionnelle initiale est considérée comme interrompue au sens de l’art. 6 al. 2 RAI lorsque, bien que l’assuré ait accompli cette formation après la survenance de l’invalidité, l’exercice de la profession apprise se révèle incompatible avec le handicap et que l’on ne saurait raisonnablement exiger de l’assuré qu’il poursuive cette activité ; dans cette éventualité, les conditions strictes prévues par cette disposition doivent également être réalisées pour que l’on puisse admettre l’existence, avant la survenance du cas d’assurance, d’une activité lucrative d’une certaine importance économique, justifiant un reclassement professionnel. Il n’est donc pas déterminant que l’assuré ait ou non exercé une activité lucrative au moment où est survenu le cas d’assurance ; il s’agit bien plutôt de savoir si, après avoir terminé sa formation professionnelle initiale, il a ou non, à un moment donné, exercé une activité lucrative d’une certaine importance économique après la fin de sa première formation professionnelle – interrompue le cas échéant –, ce qui concorde avec l’art. 6 al. 1 RAI ; il doit y avoir un lien de causalité entre l’invalidité et la nécessité de la mesure de formation, mais pas entre l’invalidité et le fait d’arrêter l’activité exercée en premier lieu ou l’activité sans formation (Michel Valterio, op. cit., nos 2 et 3 ad art. 17 LAI). d) En l’occurrence, le droit à un reclassement n’est pas ouvert, en l’absence de profession ou d’activité lucrative antérieure, dès lors que le stage en UAPE ne saurait être qualifié d’activité lucrative, si bien qu’il convient d’examiner la conclusion de la recourante sous l’angle du droit à une formation professionnelle initiale. La question du droit à une nouvelle orientation professionnelle peut rester ouverte en l’état dès lors que ces deux mesures supposent toutes deux le constat d’une invalidité. e) Il convient de préciser que, s’agissant des mesures de réadaptation de l’assurance-invalidité, l’invalidité ne se définit pas en premier lieu en fonction d’une incapacité de gain mais doit être interprétée, compte tenu du contexte de réadaptation, en fonction de la mesure requise concrètement (Anne-Sylvie Dupont/Margit Moser-Szeless [éd.], Loi sur la partie générale des assurances sociales, Commentaire,</w:t>
      </w:r>
    </w:p>
    <w:p>
      <w:r>
        <w:t>- 18 - Bâle 2018, n° 7 in fine ad art. 8 LPGA). Par ailleurs, lorsque la personne assurée n’exerce pas d’activité professionnelle, la perte de l’aptitude à accomplir un travail est examinée en fonction de son domaine d’activité. La loi ne définit pas quelles activités sont visées, mais elles doivent être comprises comme les occupations correspondant aux « travaux habituels » par l’assurance-invalidité. Il peut s’agir de tâches ménagères et de l’éducation des enfants, d’une formation, de l’assistance apportée à un proche, sans que cette aide ne soit rétribuée, ou encore d’une activité d’utilité publique ou artistique, à certaines conditions. Il faut alors mettre en évidence les activités habituelles effectuées par l’intéressé jusqu’au moment de la survenance de l’atteinte à la santé et apprécier si et dans quelle mesure il est encore capable de les accomplir. L’incapacité de travail (ou perte de l’aptitude à accomplir le travail dans son domaine d’activité) correspond à la diminution du rendement fonctionnel dans l’accomplissement des activités habituelles (Anne-Sylvie Dupont/Margit Moser-Szeless, op. cit., n° 23 ad art. 6 LPGA et les références).</w:t>
      </w:r>
    </w:p>
    <w:p>
      <w:r>
        <w:rPr>
          <w:b/>
        </w:rPr>
        <w:t>E. 7</w:t>
      </w:r>
    </w:p>
    <w:p>
      <w:r>
        <w:t>Puisque le droit à l’une ou l’autre des mesures de réadaptation professionnelle sollicitées suppose une invalidité, il reste à analyser si l’OAI était fondé à retenir l’absence de toute atteinte à la santé invalidante dans le cas particulier. A ce propos, on relèvera à titre liminaire que l’existence de troubles somatiques n’est pas alléguée – ni a fortiori démontrée – dans le cadre de la présente procédure. Sur le plan psychiatrique, se fondant sur les conclusions du rapport d’expertise du 11 juin 2021 du Dr T.________, l’OAI a retenu que la recourante ne présentait aucune atteinte à la santé invalidante. De son côté, l’assurée a considéré que le point de vue de l’intimé ne pouvait être suivi car il reposait sur un rapport d’expertise dépourvu de valeur probante. a) D’un point de vue formel, elle s’en prend aux modalités ayant présidé au déroulement de l’expertise. Elle fait ainsi valoir que le Dr</w:t>
      </w:r>
    </w:p>
    <w:p>
      <w:r>
        <w:t>- 19 - T.________ ne l’aurait que très peu rencontrée ce qui l’aurait conduit à déléguer la réalisation de l’expertise à la psychologue R.________. aa) Selon la jurisprudence, en sa qualité de mandant, l'assureur a droit à ce que l'expertise soit effectuée par la personne mandatée. La substitution ou le transfert (même partiel) du mandat à un autre spécialiste suppose en principe l'autorisation de l'organe ou de la personne qui a mis en oeuvre l'expertise. L'obligation d'exécuter personnellement le mandat d'expertise n'exclut cependant pas que l'expert recoure à l'assistance d'un auxiliaire (« Hilfsperson »),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(ATF 146 V 9 consid. 4.2.2 et les références). En l’occurrence, l’expert était, conformément à la jurisprudence précitée, autorisé à faire appel à un auxiliaire et rien n’indique qu’il y ait eu de facto substitution de mandat en faveur de la psychologue R.________. bb) S’appuyant sur le rapport du 20 octobre 2021 du Dr H.________, la recourante se plaint de ce que son psychiatre traitant n’a pas été contacté par l’expert. Outre qu’une obligation d’entretien ou de discussion avec le médecin psychiatre traitant ne résulte ni de la loi ni de la jurisprudence,</w:t>
      </w:r>
    </w:p>
    <w:p>
      <w:r>
        <w:t>- 20 - on constate que l’expert a eu accès aux rapports du Dr H.________, versés au dossier et qu’il en a pris connaissance. Ce grief se révèle ainsi infondé. b) Sur le fond, l’expertise du Dr T.________ du 11 juin 2021 se heurte aux constatations du Dr H.________ notamment au rapport du 20 octobre 2021 de ce médecin. Si l’analyse de la journée-type de la recourante est, sur le principe, une analyse conforme à la jurisprudence, elle est inconciliable avec les constatations du psychiatre traitant qui suit la recourante depuis plusieurs années. Au demeurant, les divergences de raisonnement sur les mêmes éléments de fait (capacité intellectuelle, participation à des cours de danse, notamment) sont également dûment justifiées par le Dr H.________. Il s’agit d’appréciations différentes de la même situation. Les constatations de l’expert qui entrent en conflit avec celles du psychiatre traitant sont développées dans les considérants qui suivent. aa) Il est constant que la recourante présente des troubles psychiques. L’expert retient les diagnostics de trouble dépressif récurrent, épisode actuellement léger, agoraphobie et phobie sociale légères, traits de la personnalité anxieuse et dépendante. A l’instar du Dr T.________, le Dr H.________ retient aussi un trouble dépressif récurrent, qu’il considère cependant encore moyen au contraire de l’expert qui le qualifie de léger depuis décembre 2016, ce qui doit être examiné sous l’angle du critère de gravité (du trouble dépressif) ; il retient également une phobie sociale. Il n’y a pas d’autre diagnostic émanant du psychiatre traitant de telle sorte que les diagnostics retenus par l’expert doivent être considérés comme non contestés, la querelle subsistant s’agissant de la gravité des troubles psychiques et de leur impact sur la capacité de travail de l’assurée. bb) L’expert et le psychiatre traitant s’opposent sur le degré de gravité du trouble dépressif, degré de gravité qui ne permet pas encore de déterminer le degré de gravité fonctionnel, ni la capacité de travail. En effet, du point de vue du droit des assurances sociales, ce n’est pas la gravité d’une maladie qui est finalement déterminante, mais son impact sur la capacité de travail, d’autant plus qu’elle peut entraîner des</w:t>
      </w:r>
    </w:p>
    <w:p>
      <w:r>
        <w:t>- 21 - conséquences différentes du point de vue professionnel (ATF 143 V 418 consid. 5.2.2). Indépendamment de la classification d’une maladie, un diagnostic – avec ou sans référence au degré de gravité spécifique au diagnostic – ne permet pas à lui seul de tirer des conclusions fiables sur l’ampleur de la perte de capacité fonctionnelle en corrélation avec l’atteinte à la santé en cas de troubles psychiques (ATF 143 V 418 consid. 6). Un trouble dépressif léger à modéré sans interférences notables dues à des comorbidités psychiatriques ne peut en général pas être défini comme une maladie psychique grave. Il incombe aux experts médicaux de démontrer de manière compréhensible pourquoi, en dépit d’une dépression légère à moyenne et d’une bonne capacité de traitement du trouble, il en résulte dans le cas d’espèce des limitations fonctionnelles des performances qui se répercutent sur la capacité de travail (ATF 143 V 409 consid. 4.5.2). aaa) En l’espèce, il ne ressort pas du rapport du 20 octobre 2021 du Dr H.________ que la recourante présente une incapacité de travail entière durable ; on comprend, ce que confirment les arrêts de travail attestés par ce praticien, que la recourante présente des incapacités de travail de degrés et périodes fluctuants (saisonnières), sans que le rapport précité ne réponde explicitement à la question de la capacité de travail résiduelle moyenne de la recourante. Il fait état d’une dépression saisonnière ayant pour conséquence que la recourante ne peut pas offrir une participation régulière en tant qu’élève ou employée toute l’année, spécialement en hiver, mais fait état d’une amélioration au printemps-été. La régularité étant une condition nécessaire au suivi d’une formation ou au maintien d’un emploi, le psychiatre traitant préconise une mesure d’ordre professionnel et pose un pronostic favorable en notant une amélioration de l’état de sa patiente. bbb) Le parcours de vie de la recourante démontre qu’elle est capable de développer des stratégies lui permettant, nonobstant un trouble dépressif moyen à l’époque, faisant déjà l’objet d’un suivi par la Dre P.________, de terminer sa scolarité et ses études gymnasiales sans avoir répété une année scolaire, au vu de l’année d’obtention de la</w:t>
      </w:r>
    </w:p>
    <w:p>
      <w:r>
        <w:t>- 22 - maturité. La mise en place de stratégies pour réussir ses études est de surcroît relevée par le Dr H.________. En revanche, l’expert, qui a pourtant diagnostiqué des capacités intellectuelles supérieures à la moyenne à la recourante, n’a cependant pas investigué les conditions dans lesquelles la recourante a suivi son gymnase et passé son examen d’entrée à l’Ecole U.________, ni n’a abordé les conditions du stage en UAPE, notamment la question des arrêts de travail pendant ce stage, ni discuté de la renonciation à une formation auprès de l’Ecole U.________ après la fin de ce stage, ni de l’abandon des cours en design, ni de l’incapacité de travail lors de la formation professionnelle initiale essentiellement et de la demande de suspension de mesure par la recourante. c) Il résulte de ce qui précède que les conclusions du rapport d’expertise dressé par le Dr T.________ le 11 juin 2021 sont ébranlées par le rapport du Dr H.________, en sorte que l’état de fait se révèle – même au stade de la vraisemblance prépondérante – insuffisamment déterminé pour l’examen du droit de la recourante à des prestations de l’assurance- invalidité. d) Dans ces conditions, il convient d’instruire plus avant l’état de santé de la recourante et son incidence sur sa capacité de travail et de gain. Il n’appartient en effet pas à la Cour de céans d’endosser le rôle d’expert médical et de départager les avis des médecins prénommés. Dès lors que les éléments en mains de la Cour de céans ne suffisent pas pour trancher la question litigieuse en toute connaissance de cause, il se justifie de renvoyer le dossier à l’intimé, à qui il appartient au premier chef d’instruire (art. 43 al. 1 LPGA), afin qu’il mette en œuvre une expertise psychiatrique indépendante (cf. art. 44 LPGA) visant à déterminer si la recourante présente des affections psychiques susceptibles d’ouvrir le droit à des prestations de l’assurance-invalidité, dans les limites prévues par la loi.</w:t>
      </w:r>
    </w:p>
    <w:p>
      <w:r>
        <w:t>- 23 -</w:t>
      </w:r>
    </w:p>
    <w:p>
      <w:r>
        <w:rPr>
          <w:b/>
        </w:rPr>
        <w:t>E. 8</w:t>
      </w:r>
    </w:p>
    <w:p>
      <w:r>
        <w:t>En définitive, le recours, bien fondé, doit être admis. La décision litigieuse du 15 décembre 2021 est annulée, la cause étant renvoyée à l’intimé pour complément d’instruction au sens des considérants puis nouvelle décision.</w:t>
      </w:r>
    </w:p>
    <w:p>
      <w:r>
        <w:rPr>
          <w:b/>
        </w:rPr>
        <w:t>E. 9</w:t>
      </w:r>
    </w:p>
    <w:p>
      <w:r>
        <w:t>a)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1'250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