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ZD22.003291 vom 6. Oktober 2023</w:t>
      </w:r>
    </w:p>
    <w:p>
      <w:r>
        <w:t>VD Tribunal cantonal, 2023-10-06, FR</w:t>
      </w:r>
    </w:p>
    <w:p>
      <w:r>
        <w:rPr>
          <w:b/>
        </w:rPr>
        <w:t xml:space="preserve">Quelle: </w:t>
      </w:r>
      <w:r>
        <w:t>https://mcp.opencaselaw.ch/entscheid/vd_gerichte_ZD22.003291</w:t>
      </w:r>
    </w:p>
    <w:p>
      <w:r>
        <w:t>FR: VD_GERICHTE ZD22.003291 du 6 octobre 2023</w:t>
      </w:r>
    </w:p>
    <w:p>
      <w:r>
        <w:t>IT: VD_GERICHTE ZD22.003291 del 6 ottobre 2023</w:t>
      </w:r>
    </w:p>
    <w:p>
      <w:pPr>
        <w:pStyle w:val="Heading2"/>
      </w:pPr>
      <w:r>
        <w:t>Erwägungen</w:t>
      </w:r>
    </w:p>
    <w:p>
      <w:r>
        <w:rPr>
          <w:b/>
        </w:rPr>
        <w:t>E. 4</w:t>
      </w:r>
    </w:p>
    <w:p>
      <w:r>
        <w:t>a) Lorsqu’une rente a été refusée parce que le degré d’invalidité était insuffisant, une nouvelle demande ne peut être examinée que si l’assuré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l’assuré se borne à répéter les</w:t>
      </w:r>
    </w:p>
    <w:p>
      <w:r>
        <w:t>- 13 - mêmes arguments sans rendre plausible une modification des faits déterminants depuis le dernier examen matériel du droit aux prestations (ATF 133 V 108 consid. 5.2 ; 130 V 71 consid. 3.1 ; 130 V 64 consid. 2 et 5.2.3).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b)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(TF 9C_384/2021 du 25 avril 2022 consid. 3). c) Lorsqu’un assuré introduit une nouvelle demande de prestations ou une procédure de révision sans rendre plausible que son</w:t>
      </w:r>
    </w:p>
    <w:p>
      <w:r>
        <w:t>- 14 -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(ATF 130 V 64 consid. 5.2.5 ; TF 9C_789/2012 du 27 juillet 2013 consid. 2.3 ; TF 9C_708/2007 du 11 septembre 2008 consid. 2.3).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 3100, p. 840 s.).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e) On ajoutera que la dernière décision entrée en force qui repose sur un examen matériel du droit à la rente avec une constatation des faits pertinents, une appréciation des preuves et une comparaison des revenus conformes au droit constitue le point de départ temporel pour</w:t>
      </w:r>
    </w:p>
    <w:p>
      <w:r>
        <w:t>- 15 - l’examen d’une modification du degré d’invalidité lors d’une révision de la rente (ATF 133 V 108 consid. 5.4).</w:t>
      </w:r>
    </w:p>
    <w:p>
      <w:r>
        <w:rPr>
          <w:b/>
        </w:rPr>
        <w:t>E. 5</w:t>
      </w:r>
    </w:p>
    <w:p>
      <w:r>
        <w:t>a) En l’espèce, l’intimé n’est pas entré en matière sur la quatrième demande de prestations déposée par le recourant le 16 décembre 2020. Il s’agit donc pour la Cour de céans d’examiner si les rapports des médecins consultés par le recourant établissent de manière plausible une aggravation de son état de santé par rapport à la décision de refus du 25 avril 2019 entrée en force, conformément aux principes rappelés ci-dessus (cf. consid. 4c supra). A l’époque du refus de prester du 25 avril 2019, l’OAI s’était basé sur les constatations et conclusions du rapport d’expertise pluridisciplinaire (médecine interne, rhumatologie et psychiatrie) du 11 décembre 2018 du D.________. Posant les diagnostics de cardiopathie ischémique avec infarctus NSTEMI subaigu sur maladie coronarienne mono-tronculaire avec occlusion de l’IVA moyenne le 23 décembre 2014, mise en place d’un stent actif sur l’IVA (23 décembre 2014), hypertension artérielle connue et traitée depuis décembre 2014, hypercholestérolémie traitée depuis décembre 2014, obésité grade I, balance lichénoïde traitée depuis 2017, cervicalgies chroniques sur troubles dégénératifs, discopathies étagées de C3-C4 à C6-C7, lombosciatalgies gauches chroniques irritatives, non déficitaires, de topographie L5-S1, sur troubles dégénératifs, dysthymie (F 34.1) et trouble de l’adaptation avec prédominance d’une perturbation d’autres émotions (F43.23), les experts ont évalué de manière unanime la capacité de travail de l’assuré à 100 %, avec une diminution de rendement de 15 % en raison de lésions dégénératives marquées touchant tant la colonne cervicale que lombaire entraînant des douleurs chroniques depuis 2016 dans une activité adaptée aux limitations fonctionnelles, à savoir un emploi permettant de petites pauses pour pouvoir pratiquer des étirements et évitant les efforts physiques soutenus, les déplacements sur de longues distances, la position statique assis ou debout prolongée au-delà de trente à quarante- cinq minutes, la position prolongée ou le mouvement itératif contraignant pour le rachis cervical respectivement lombaire en flexion, extension,</w:t>
      </w:r>
    </w:p>
    <w:p>
      <w:r>
        <w:t>- 16 - rotation, inclinaison de la nuque respectivement du tronc, sans position de travail agenouillé, ni sur échelle ou échafaudage, sans port itératif de charges supérieures à cinq-dix kilos, sans travail avec les bras levés en hauteur et avec des engins émettant des vibrations à basse fréquence et autorisant les changements de positions. b) A titre préalable, il convient de préciser que s’agissant des rapports de la Dre L.________ établis entre avril 2021 et janvier 2022, les documents établis après le 13 décembre 2021, à savoir postérieurs à la date de la décision litigieuse, doivent être écartés d’emblée dans le cadre de la présente procédure, singulièrement le rapport du 19 janvier 2022 dont le recourant se prévaut (cf. consid. 4d supra). c) S’agissant de la problématique psychiatrique, la Dre L.________ a uniquement attesté dans ses rapports des 8 et 20 avril 2021 d’une peur de son patient pour sa santé (attaques de panique) et d’une « angoisse envahissant[e] accompagné[e] avec palpitations, transpiration, tremblement » en augmentation depuis la dernière intervention cardiaque en novembre 2020, ayant nécessité des consultations aux Urgences du CHUV. La péjoration rapportée repose essentiellement sur le ressenti exposé par le recourant, lequel décrivait une labilité émotionnelle, une impulsivité, une nervosité et un sommeil haché, et ne ressort pas d’une atteinte objectivable et surtout durable à quelques mois de la nouvelle opération (coronarographie et angioplastie de l’IVA III) réalisée le 11 novembre 2020 par le Dr E.__________. Aucun document de la Dre L.________ ne rend plausible une aggravation de l’état de santé du recourant. En effet, il convient de constater tout d’abord que les plaintes qui y sont rapportées ont déjà été évoquées et dûment prises en compte dans le cadre de l’expertise de décembre 2018. De plus, les rapports susmentionnés se fondent essentiellement sur les dires du recourant, sans que ces derniers aient été mis en perspective avec des éléments objectifs. A cet égard, interrogée par l’OAI le 8 avril 2021, la Dre L.________ se fonde sur le même tableau clinique et les mêmes plaintes de l’assuré qu’elle attestait dans ses</w:t>
      </w:r>
    </w:p>
    <w:p>
      <w:r>
        <w:t>- 17 - rapports des 13 novembre 2017 du 31 janvier 2018 (à savoir, un trouble dépressif récurrent, épisode actuel sévère, sans symptôme psychotique, des troubles spécifiques de la personnalité, trouble paranoïaque, et une personnalité émotionnellement labile, de type impulsif ainsi que d’autres modifications de la personnalité), ce que le recourant met lui-même en évidence dans sa réplique du 26 avril 2022, et que l’expert psychiatre décrit aussi en partie lors de l’expertise de décembre 2018 (volet psychiatrique de l’expertise, pp. 17 - 18) en retenant les diagnostics non incapacitants de dysthymie (F34.1) et trouble de l’adaptation avec prédominance d’une perturbation d’autres émotions (F43.23). Dans ses avis des 8 et 20 avril 2021, la Dre L.________ ne parle que d’une absence d’amélioration de l’état de santé global de son patient, en référence aux événements cardiaques mais sur le plan psychiatrique, elle dresse le même état de santé (pas d’amélioration ni de péjoration) et ne fait en définitive que substituer, pour un même état de fait, son propre avis, à savoir une capacité de travail nulle de son patient en toute activité, à celui retenu en 2018 par l’expert psychiatre, mais n’a pas établi d’arrêts de travail, renvoyant à ce sujet au médecin traitant généraliste et au cardiologue. En ce qui concerne les « signes objectifs d’une aggravation » allégués par le recourant entre la date de la consultation de l’expert (le Dr R.________) et les rapports établis par la Dre L.________ dans le cadre de la nouvelle demande de prestations, il convient de relever, s’agissant du sommeil, que l’expert psychiatre (volet psychiatrique de l’expertise, p. 11) rapportant les propos de l’assuré écrivait en 2018 : « Il ne dort pas bien malgré le fait qu’il prend de l’Imovane depuis sept mois. Il dit se réveiller cinquante fois durant la nuit, il a un sommeil agité, il se tourne tout le temps ». Avec le SMR, on voit mal comment une telle situation peut s’aggraver, à tout le moins la Dre L.________ n’étaye pas cette affirmation en avril 2021 en se limitant à rapporter les dires de son patient qui évoque plusieurs réveils par nuit. De manière plus générale, il convient d’observer qu’en 2018 les experts ont exposé que la dysthymie, associée à un trouble de l’adaptation, consistait en une atteinte à la santé dont « la gravité</w:t>
      </w:r>
    </w:p>
    <w:p>
      <w:r>
        <w:t>- 18 - globale reste légère » et que « la fatigue reste légère avec une discrète atteinte de l’endurance. Il n’y a pas de troubles cognitifs objectivés. Il n’y a pas d’atteinte psychique qui serait source d’une diminution durable (même si l’on note de la colère il arrive rapidement à se contrôler) de la capacité de jugement, de perturbation de la prise de décision ou de respecter un cadre de travail ». Aussi, on voit mal, chez l’assuré qu’une telle atteinte à la santé puisse avoir d’autres répercussions que celles déjà retenues lors de l’expertise pluridisciplinaire du D.________, cela d’autant plus au vu l’absence de péjoration rendue plausible de l’état de santé jusqu’au jour de la décision attaquée. La Dre L.________ ne dit pas autre chose dans son rapport du 4 décembre 2020, ni dans celui du 30 août 2021, où elle fait part d’une dégradation ou aggravation au plan somatique ou général. Or en décembre 2018, les experts ont retenu une limitation de la capacité d’interagir avec autrui ainsi que des capacités adaptatives limitées par le niveau d’éducation et le fait que l’assuré se trouvait dans une situation de crise personnelle avec une émotivité accentuée (volet consensuel de l’expertise, p. 6). La Dre L.________ termine en disant qu’il n’y a pas d’amélioration et ainsi ne dit pas clairement qu’il y aurait une dégradation ou aggravation au plan psychiatrique à tout le moins. Enfin, dans son rapport du 19 janvier 2022, autant qu’il peut être pris en considération, la Dre L.________ reconnaît que les diagnostics retenus par les experts sont « très légers » par rapport à son appréciation et ne fait ainsi nullement état d’une péjoration objective ni en intensité ni en termes de nouveaux diagnostics. Elle observe du reste que son patient « est suivi par [s]es soins depuis le 21 septembre 2017 et il a été déjà incapable à travailler selon son médecin traitant avant [le] début de son suivi psychiatrique ». Dans ces conditions, tout au plus seule une absence d’amélioration de l’état de santé global du recourant mais en tous les cas pas une péjoration est décrite par la psychiatre traitante dans ses rapports.</w:t>
      </w:r>
    </w:p>
    <w:p>
      <w:r>
        <w:t>- 19 - Les avis successifs de la Dre L.________ ne rendent pas plausible une modification de la situation psychique du recourant entre sa troisième et sa quatrième demande de prestations. d) Sous l’angle somatique, les IRM cervicales, dès 2018, mettent en évidence des troubles dégénératifs (à savoir, des discopathies et altérations dégénératives osseuses étagées, prédominant entre les vertèbres C4-C5 et C6-C7, à l’origine d’une sténose des trous de conjugaison C3-C4 gauche, C4-C5, C5-C6, C6-C7 bilatéralement et une possible irritation des racines nerveuses correspondantes dans leur trajet intra-foraminal ; cf. rapport d’IRM cervicale et de la colonne cervicale du Dr Q.________ du 18 avril 2018), de sorte qu’une amélioration ne saurait intervenir par nature. Les dernières IRM, singulièrement celles du 21 septembre 2021 de la Dre N.________ ne font pas état d’une dégradation significative en mettant en évidence l’absence de hernie discale, une discopathie toute débutante de L2-L3, L4-L5 et L5-S1 sans conflit disco- radiculaire, une hernie de Schmorl en formation du plateau supérieur de L3 versus hémangiome, et une zygarthrose modérée étagée avec signes inflammatoires en L4-L5. Sur le plan neurologique, malgré l’allégation par la Dre T.________ dans son rapport de consultation du 17 mai 2021 de symptômes nettement plus importants depuis novembre 2020, il reste qu’une augmentation des troubles cognitifs du recourant n’est pas établie sur la base d’une quelconque atteinte organique cérébrale (une IRM cérébrale de 2018 ne met pas en évidence de lésion particulière), ni péjoration des diagnostics sur le plan psychique comme on l’a vu ci-dessus. Quant au plan cardiologique, dans son acte de recours du 27 janvier 2022 le recourant admet que la nouvelle opération n’a pas entraîné de complications. Il ressort d’un rapport du Dr E.__________ du 8 février 2021 qu’en dépit de la réintervention en novembre 2020, la capacité de travail de l’assuré, sur le plan cardiologique, devait « avoir été récupérée à 100 % », en sorte que ce dernier ne saurait, à juste titre, justifier une aggravation durable de son état de santé de ce fait.</w:t>
      </w:r>
    </w:p>
    <w:p>
      <w:r>
        <w:t>- 20 - Pour le reste, le rapport du Service de dermatologie du CHUV du 4 janvier 2021 mentionne le diagnostic de dermatite de l’interface avec nombreuses nécroses kératinocytaires isolées. Etant entendu qu’en dermatologie clinique, la dermatite est utilisée pour décrire une variété de pathologies cutanées différentes qui partagent le même schéma de réaction inflammatoire avec des manifestations cliniques similaires, ce rapport ne permet pas à lui seul de retenir que le recourant présenterait une inflammation de la peau, laquelle peut également être causée par des troubles cutanés non dermatologiques. En tout état de cause, ce seul document ne justifie pas d’investiguer une éventuelle atteinte dermatologique incapacitante et durable. Le recourant ne s’en prévaut d’ailleurs pas. Quant au certificat du 26 août 2021 du Dr I.________, spécialiste en médecine interne, médecin traitant, lequel atteste d’une capacité de travail nulle de son patient dans tout métier, ce document est à prendre avec des réserves. Ce médecin se limite à rappeler les diagnostics présentés par son patient sur le plan somatique et qu’il fait face à un tableau douloureux récurrent avec blocages fréquents, générant des troubles du sommeil sévères et une asthénie marquée. Il indique qu’un nouveau bilan radiologique devait être réalisé prochainement, examen qui, comme on l’a vu ci-avant, n’a pas rendu plausible une dégradation significative depuis les images précédentes datant de 2018. Concernant l’aspect psychiatrique, le Dr I.________ renvoie auprès de la psychiatre traitante dont les avis successifs ne rendent pas non plus plausible une péjoration de la situation du recourant sur cet axe depuis le précédent refus de prestations.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e) Ainsi, le recourant n’apporte aucun élément objectif vérifiable, notamment de nature clinique ou diagnostic, qui serait nouveau</w:t>
      </w:r>
    </w:p>
    <w:p>
      <w:r>
        <w:t>- 21 - par rapport à ce qui a été retenu dans l’expertise pluridisciplinaire du D.________ de décembre 2018 et qui aurait été ignoré par le SMR, justifiant de s’écarter de ses conclusions. f) En définitive, la situation médicale du recourant est largement superposable à celle prévalant au moment de l’expertise pluridisciplinaire du D.________ en décembre 2018. On ne peut donc que confirmer l’appréciation du SMR (cf. avis du 6 mai 2022) selon laquelle les rapports produits par le recourant dans le cadre de sa quatrième demande de prestations du 16 décembre 2020 ne rendent pas plausible une péjoration de son état de santé global (somatique et psychiatrique) depuis la décision entrée en force du 25 avril 2019. C’est ainsi à juste titre que l’intimé a considéré que le recourant n’avait pas établi de façon plausible une modification de la situation propre à influencer son droit à des prestations de l’assurance-invalidité et qu’il n’est pas entré en matière sur la nouvelle demande de prestations.</w:t>
      </w:r>
    </w:p>
    <w:p>
      <w:r>
        <w:rPr>
          <w:b/>
        </w:rPr>
        <w:t>E. 6</w:t>
      </w:r>
    </w:p>
    <w:p>
      <w:r>
        <w:t>a) Au vu de ce qui précède, le recours doit être rejeté et la décision querellée confirmée. Il n’y a pas lieu de donner suite à la requête du recourant tendant à la mise en œuvre d’une expertise d’ordre psychiatrique, respectivement pluridisciplinaire, laquelle sort manifestement du cadre défini par l’art. 87 al. 3 RAI. Un tel constat s’impose a fortiori en ce qui concerne le rejet du recours et la confirmation de la décision querellée de refus d’entrer en matière sur la nouvelle demande de prestations. b) En dérogation à l’art. 61 let. a LPGA, la procédure de recours en matière de contestation portant sur l’octroi ou le refus de prestations de l’assurance-invalidité devant le tribunal cantonal des assurances sociales est soumise à des frais de justice (art. 69 al. 1bis LAI). En l’espèce, les frais judiciaires, arrêtés à 600 fr., sont mis à la charge du recourant qui succombe. c) Il n’y a pas lieu d’allouer de dépens au recourant, qui n’obtient pas gain de cause (art. 61 let. g LPGA).</w:t>
      </w:r>
    </w:p>
    <w:p>
      <w:r>
        <w:t>- 22 - d) Le recourant est au bénéfice de l’assistance judiciaire (cf. décision du 28 janvier 2022) et a droit à une indemnité de dépens à titre de participation aux honoraires de son conseil (art. 61 let. g LPGA). Après examen de la liste des opérations déposée le 30 août 2023 par Me Métille, compte tenu de l’importance et de la complexité du litige, il convient d’arrêter l’indemnité à 2’680 fr. 10, débours et TVA compris (art. 10 et 11 TFJDA [tarif du 28 avril 2015 des frais judiciaires et des dépens en matière administrative ; BLV 173.36.5.1]). En effet, l’activité déployée dépasse ce qu’admet la pratique de la Cour de céans dans l’estimation du temps objectivement requis pour le traitement de cas de ce genre eu égard à l’importance et à la complexité du litige. En particulier, la liste faite mention de quelques démarches antérieures à la date à laquelle l’assistance judiciaire a été accordée (27 janvier 2022), lesquelles n’ont pas à être prises en charge dans le cadre de la présente procédure.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