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ZD22.003213 vom 2. November 2023</w:t>
      </w:r>
    </w:p>
    <w:p>
      <w:r>
        <w:t>VD Tribunal cantonal, 2023-11-02, FR</w:t>
      </w:r>
    </w:p>
    <w:p>
      <w:r>
        <w:rPr>
          <w:b/>
        </w:rPr>
        <w:t xml:space="preserve">Quelle: </w:t>
      </w:r>
      <w:r>
        <w:t>https://mcp.opencaselaw.ch/entscheid/vd_gerichte_ZD22.003213</w:t>
      </w:r>
    </w:p>
    <w:p>
      <w:r>
        <w:t>FR: VD_GERICHTE ZD22.003213 du 2 novembre 2023</w:t>
      </w:r>
    </w:p>
    <w:p>
      <w:r>
        <w:t>IT: VD_GERICHTE ZD22.003213 del 2 novembre 2023</w:t>
      </w:r>
    </w:p>
    <w:p>
      <w:pPr>
        <w:pStyle w:val="Heading2"/>
      </w:pPr>
      <w:r>
        <w:t>Erwägungen</w:t>
      </w:r>
    </w:p>
    <w:p>
      <w:r>
        <w:rPr>
          <w:b/>
        </w:rPr>
        <w:t>E. 26</w:t>
      </w:r>
    </w:p>
    <w:p>
      <w:r>
        <w:t>octobre 2021 que l’atteinte à la santé existe probablement depuis de nombreuses années et qu’un diagnostic erroné a été posé (confusion avec une probable fibromyalgie). A la lecture du rapport du 4 février 2020 de cette rhumatologue on constate toutefois que les examens qui la conduisent à diagnostiquer une spondylarthrite inflammatoire, notamment ceux complémentaires de laboratoire, n’ont été effectués qu’au mois de septembre 2019. Dès lors rien ne permet d’objectiver la présence de ces éléments avant la décision du 13 mai 2019. Ces éléments ne constituent pas des faits nouveaux importants ou des nouveaux moyens de preuve qui ne pouvaient être produits avant, soit des faits « nouveaux » qui se sont produits jusqu'au moment où, dans la procédure principale, des allégations de faits étaient encore recevables, mais qui n'étaient pas connus du requérant malgré toute sa diligence, au sens de l’art. 53 al. 1 LPGA. Il apparaît dès lors que les conclusions de la recourante tendant à la révision de la décision du 13 mai 2019 pour « constatation manifestement erronée des faits » ne sont pas fondées. 9. a) Compte tenu de ce qui précède,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r>
        <w:t>- 23 -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