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ZD22.000378 vom 8. Januar 2024</w:t>
      </w:r>
    </w:p>
    <w:p>
      <w:r>
        <w:t>VD Tribunal cantonal, 2024-01-08, FR</w:t>
      </w:r>
    </w:p>
    <w:p>
      <w:r>
        <w:rPr>
          <w:b/>
        </w:rPr>
        <w:t xml:space="preserve">Quelle: </w:t>
      </w:r>
      <w:r>
        <w:t>https://mcp.opencaselaw.ch/entscheid/vd_gerichte_ZD22.000378</w:t>
      </w:r>
    </w:p>
    <w:p>
      <w:r>
        <w:t>FR: VD_GERICHTE ZD22.000378 du 8 janvier 2024</w:t>
      </w:r>
    </w:p>
    <w:p>
      <w:r>
        <w:t>IT: VD_GERICHTE ZD22.000378 del 8 gennaio 2024</w:t>
      </w:r>
    </w:p>
    <w:p>
      <w:pPr>
        <w:pStyle w:val="Heading2"/>
      </w:pPr>
      <w:r>
        <w:t>Erwägungen</w:t>
      </w:r>
    </w:p>
    <w:p>
      <w:r>
        <w:rPr>
          <w:b/>
        </w:rPr>
        <w:t>E. 7</w:t>
      </w:r>
    </w:p>
    <w:p>
      <w:r>
        <w:t>Sur le plan économique, le recourant ne formule pas de grief particulier à l’encontre du calcul établi par l’intimé (doc. 131 du dossier), mais il convient de procéder d’office à sa vérification. a) Pour évaluer le taux d’invalidité, le revenu que l’assuré aurait pu obtenir s’il n’était pas atteint dans sa santé (revenu sans invalidité) est comparé avec celui qu’il pourrait obtenir en exerçant l’activité qui peut encore raisonnablement être exigée de lui après les</w:t>
      </w:r>
    </w:p>
    <w:p>
      <w:r>
        <w:t>- 22 - traitements et les mesures de réadaptation, sur un marché du travail équilibré (revenu avec invalidité). C’est la méthode ordinaire de comparaison des revenus (art. 16 LPGA et 28a al. 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143 V 295 consid. 2.2 et 129 V 472 consid. 4.2.1). 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- 23 - le droit éventuel à la rente prend naissance (ATF 134 V 322 consid. 4.1 ; 129 V 222). 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f) En l’espèce, au titre de la vérification d’office du calcul du degré d’invalidité du recourant, il convient de corriger légèrement plusieurs éléments. aa) Le calcul du salaire exigible établi par l’OAI se base sur l’année 2016, à tort, puisque ce n’est pas celle de l’ouverture du droit potentiel à la rente (à savoir 2017 ; cf. consid. 6b supra et ATF 134 V 322 consid. 4.2 ; 129 V 222). Il ressort du questionnaire rempli par son ancien employeur et du dossier de l’assurance perte de gain que le recourant réalisait, en 2016, un revenu de 5'050 fr. par mois, treize fois l’an, pour une durée de travail hebdomadaire de 45 heures (cf. questionnaire du 24 janvier 2017 et annonce de l’employeur à X.________ SA). Son revenu sans invalidité annuel en 2016 s’élevait dès lors à 65'650 fr., comme l’a retenu l’OAI ; il s’élève après indexation pour l’année 2017 à 65'912 fr. 60 (+0,4 % pour les hommes ; cf. Evolution des salaires nominaux, des prix à la consommation et des salaires réels, 2010-2022, Tableau T39, publié par l’OFS, version consultée publiée le 24 avril 2023). Le salaire statistique de la branche pour l’ensemble de la Suisse, en 2016, pour un chauffeur de camion-poubelle, correspondait à 4'435 fr. par mois, pour une moyenne d’heures de travail hebdomadaires de 40 heures (cf. ESS 2016, TA1_skill-level, branches 77,79-82, hommes,</w:t>
      </w:r>
    </w:p>
    <w:p>
      <w:r>
        <w:t>- 24 - niveau de compétences 1 ; pour la branche, cf. OFS, Nomenclature générale des activités économiques [NOGA] 2008, notes explicatives, n°812900, p. 210). Rapporté à 45 heures hebdomadaires, ce salaire correspond à 4'989 fr. 38, ce qui est en-deçà du salaire que le recourant percevait (même hors treizième salaire) et exclut le parallélisme des revenus (ATF 141 V 1 consid. 5.4 ; 134 V 322 consid. 4.1). Le revenu sans invalidité du recourant s’élevait ainsi à 65'912 fr. 60. bb) Le revenu avec invalidité doit être établi sur une base statistique correspondant au total pour les hommes du tableau TA1_skill- level 2016, niveau de compétences 1 (5'340 fr.) et adapté à l’horaire de travail usuel (41,7 heures, cf. OFS, Durée normale du travail dans les entreprises selon la division économique [NOGA 2008], en heures par semaine) comme l’a fait l’OAI, en indexant toutefois l’ESS 2016 à l’année 2017 (+0,4 %). Une fois ces adaptations faites, le revenu avec invalidité du recourant s’élève en 2017 à 67'070 fr. 61 ( [(5’340x41,7)/40]x12 ; +0,4 %). L’OAI n’a pas appliqué d’abattement, ce que le recourant ne conteste pas, et les circonstances du cas d’espèce ne justifient pas que la Cour revienne sur cette appréciation. cc) Après comparaison des revenus, il appert que le recourant ne présentait pas de perte de gain à l’ouverture potentielle de son droit à la rente, son degré d’invalidité étant nul (65’650-65'912,60= -1'158,01 ; - 1'158,01x100/65'912,6 = - 1,76 %). La conclusion de l’OAI, dans son calcul du degré d’invalidité, peut être confirmée. g) Le degré d’invalidité du recourant n’atteignait donc effectivement pas 40 % au mois de mai 2017, de sorte que le droit à une rente d’invalidité ne lui était pas ouvert. Depuis cette date, comme l’a relevé l’OAI à juste titre, chacune de ses incapacités de travail dans toutes activités a duré moins d’une année, de sorte que les conditions du droit à</w:t>
      </w:r>
    </w:p>
    <w:p>
      <w:r>
        <w:t>- 25 - une rente n’ont pas été remplies non plus, par la suite et jusqu’à la décision litigieuse. L’OAI était fondé à nier le droit du recourant à une rente d’invalidité.</w:t>
      </w:r>
    </w:p>
    <w:p>
      <w:r>
        <w:rPr>
          <w:b/>
        </w:rPr>
        <w:t>E. 8</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Comme la capacité de gain du recourant n’est pas amoindrie, c’est à juste titre que l’intimé a constaté qu’il n’avait pas droit à des mesures de réadaptation de l’assurance-invalidité. Au demeurant, on relève que l’intimé a octroyé des mesures au recourant, qui s’est déclaré à plusieurs reprises inapte à les suivre en raison de son état de santé. La décision doit être confirmée sur cet aspect également.</w:t>
      </w:r>
    </w:p>
    <w:p>
      <w:r>
        <w:rPr>
          <w:b/>
        </w:rPr>
        <w:t>E. 9</w:t>
      </w:r>
    </w:p>
    <w:p>
      <w:r>
        <w:t>a) En conclusion, le recours doit être rejeté, et la décision rendue par l’intimé le 17 novembre 2021,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l’issue du litige. Toutefois, dès lors qu’il a obtenu, au titre de l’assistance judiciaire, l’exonération d’avances et des frais de justice, ces frais sont laissés provisoirement à la charge de l’Etat (art. 122 al. 1 let. b CPC [code fédéral de procédure civile du 19 décembre 2008 ; RS 272], applicables par renvoi de l’art. 18 al. 5 LPA-VD). c) Il n’y a par ailleurs pas lieu d’allouer de dépens, le recourant n’obtenant pas gain de cause (art. 61 let. g LPGA a contrario).</w:t>
      </w:r>
    </w:p>
    <w:p>
      <w:r>
        <w:t>- 26 - d) Le recourant bénéficie, au titre de l’assistance judiciaire, de la commission d’office d’un avocat en la personne de Me Xavier Oulevey, qui peut prétendre à une équitable indemnité pour son mandat d’office. Ledit conseil n’a pas déposé de liste détaillée de ses opérations. Compte tenu de l’ampleur de la procédure et des opérations effectuées il convient de fixer son indemnité de conseil d’office à 3'000 fr., débours et TVA compris (art. 3 al. 2 RAJ [règlement cantonal du 7 décembre 2010 sur l’assistance judiciaire en matière civile ; BLV 211.02.3]). e) Le recourant est rendu attentif au fait qu’il est tenu de rembourser les frais et l’indemnité provisoirement pris en charge par l’État, dès qu’il sera en mesure de le faire (art. 122 al. 1 let. a, b et 123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