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ZD21.051834 vom 24. Oktober 2022</w:t>
      </w:r>
    </w:p>
    <w:p>
      <w:r>
        <w:t>VD Tribunal cantonal, 2022-10-24, FR</w:t>
      </w:r>
    </w:p>
    <w:p>
      <w:r>
        <w:rPr>
          <w:b/>
        </w:rPr>
        <w:t xml:space="preserve">Quelle: </w:t>
      </w:r>
      <w:r>
        <w:t>https://mcp.opencaselaw.ch/entscheid/vd_gerichte_ZD21.051834</w:t>
      </w:r>
    </w:p>
    <w:p>
      <w:r>
        <w:t>FR: VD_GERICHTE ZD21.051834 du 24 octobre 2022</w:t>
      </w:r>
    </w:p>
    <w:p>
      <w:r>
        <w:t>IT: VD_GERICHTE ZD21.051834 del 24 ottobre 2022</w:t>
      </w:r>
    </w:p>
    <w:p>
      <w:pPr>
        <w:pStyle w:val="Heading2"/>
      </w:pPr>
      <w:r>
        <w:t>Erwägungen</w:t>
      </w:r>
    </w:p>
    <w:p>
      <w:r>
        <w:rPr>
          <w:b/>
        </w:rPr>
        <w:t>E. 11</w:t>
      </w:r>
    </w:p>
    <w:p>
      <w:r>
        <w:t>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bb) En l’occurrence, le recourant a disposé de plus d’une année pour s’exprimer sur le projet de décision, mais n’a pas fait usage de cette possibilité. Au surplus, il a eu ensuite l’opportunité dans la présente procédure de recours de s’exprimer sur les faits de nature à influer sur le sort de la décision devant une autorité de recours jouissant d’un plein pouvoir d’examen, de sorte qu’une éventuelle violation de la disposition précitée devrait de toute manière être considérée comme réparée.</w:t>
      </w:r>
    </w:p>
    <w:p>
      <w:r>
        <w:t>- 10 - b) Par un second moyen, le recourant reproche à l’office intimé de ne pas avoir motivé la décision attaquée de refus de rente. aa)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bb) En l’espèce, la motivation de la décision attaquée permet de comprendre parfaitement quels éléments ont été retenus par l’office intimé et pourquoi ils l’ont été (« Toutefois, force est de constater qu’à partir de septembre 2013, et sur la base des renseignements médicaux, sa capacité de travail est entière, avec une baisse de rendement de 20 %, dans une activité adaptée respectant les limitations fonctionnelles […] »). En réalité, en tant que le recourant reproche à l’office intimé de n’avoir</w:t>
      </w:r>
    </w:p>
    <w:p>
      <w:r>
        <w:t>- 11 - pas motivé de façon suffisamment intelligible la manière dont elle a tenu compte des différents rapports médicaux, le grief se confond avec celui d’arbitraire dans la constatation des faits et l’appréciation des preuves. Il convient de l’examiner avec le fond du litige. 3. a) Le litige sur le fond a pour objet le droit du recourant à une rente de l’assurance-invalidité, singulièrement le degré d’invalidité à la base de cette prestation.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24 septembre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- 12 - b)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w:t>
      </w:r>
    </w:p>
    <w:p>
      <w:r>
        <w:t>- 13 -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- 14 -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l’occurrence, il y a lieu d’examiner si l’état de santé du recourant s’est péjoré, dans une mesure susceptible de modifier l’exigibilité de l’exercice d’une activité lucrative, et, partant, le droit à la rente, depuis la précédente décision au fond, datée du 29 avril 2016, par laquelle l’office intimé avait constaté que la capacité résiduelle de travail du recourant dans une activité adaptée à ses limitations fonctionnelles était entière depuis septembre 2013. a) L’office intimé s’était basé à l’époque sur un avis du 24 mars 2015 du Dr H.________, du SMR, lequel s’était rallié aux constatations et conclusions d’un rapport d’expertise pluridisciplinaire (médecine interne, rhumatologie, neurologie et psychiatrie) du 6 janvier 2015 du P.________ mis en œuvre par l’assurance perte de gain de l’employeur de l’assuré (X.________ Assurances Générales SA), dont la teneur était la suivante : • Sur le plan somatique, hors neurologie, il existe une gonarthrose débutante droite et une spondylarthrose lombaire sans radiculopathie ni myélopathie évidente, qui est démontrée par l’absence de syndrome radiculaire, les altérations de l’ENMG [électro-neuro-myogramme] n’étant pas diagnostiques d’une telle pathologie. L’imagerie radiologique a été revue, il n’existe pas de signe compressif du système nerveux. La myotonie découverte est définie comme sans répercussion fonctionnelle aucune, même pour un travail de force. La présentation de l’assuré comme un homme inactif, quasiment grabataire, devant se faire aider par son épouse dans la vie quotidienne est due à des facteurs extra-somatiques. En témoignent le tableau de « surcharge majeure » avec un comportement démonstratif et plaintif lors de l’observation aux ateliers professionnels, la présence d’éléments peu concordants, de lâchages, de contre-pulsions, de l’absence de modification corporelles attendues en cas d’immobilisation prolongée. La présence au contraire d’une musculature conservée, de callosités des genoux, d’une usure des chaussures identique signale un fonctionnement conservé. Diverses anomalies non incapacitantes ont été relevées et discuté[e]s (œdème des membres inférieurs, perturbation des tests hépatiques et hépatomégalie, hyperuricémie, possible syndrome d’apnée du sommeil).</w:t>
      </w:r>
    </w:p>
    <w:p>
      <w:r>
        <w:t>- 15 - • Au plan psychiatrique, il n’existe pas de pathologie. Dans cette optique, une amplification des symptômes qui a paru évidente lors des examens somatiques est considérée « consciente ». • Au plan neurologique, la discordance entre l’état de la musculature conservée aux membres inférieurs et l’impossibilité de les mobiliser, rendait l’examen difficile d’autant qu’il existait les phénomènes de surcharge décrits. Il n’existait pas de fasciculation, décrites dans les formes sévères de myoclonie. Mais l’assuré « garde une solide constitution plus d’un [an] après son arrêt de travail » malgré « l’état d’impotence majeur qu’il annonce ». Il n’existe pas d’hypoesthésie en selle ni d’évidence d’atteinte des racines sacrées pouvant justifier de l’impotence et de l’incontinence annoncées, qui sortent cependant du champ de l’expertise. • Sur le plan biologique, le dosage des médicaments était infra- thérapeutique tant sur le plan antalgique que psychiatrique. Il n’a pas semblé raisonnable aux experts d’envisager une poursuite de l’activité habituelle de maçon, étant « d’usage de ne pas exposer un patient douloureux chronique à la dangerosité du métier », même étant entendu que son état de santé, myoclonie bénigne y comprise, ne constituait pas une contre-indication. Nous pouvons suivre les conclusions de cette expertise de la manière suivante : Début de l’IT [incapacité de travail] : 6.3.2013 Evolution de l’IT : 100% dès le 6.3.2013 Capacité de travail : - Activité habituelle : 0% - Activité adaptée : 50% dès ao[û]t 2013, 100% dès septembre 2013. Limitations fonctionnelles : pas de port de charge de plus de 10 Kg, pas de travail sur une échelle ou sur un échafaudage, pas de marche longue en terrain accidenté, pas de montée et descente régulière d’escalier, pas de travail à genoux ou accroupie, possibilité de se lever une fois par heure à son gré. Réadaptation : elle paraît vouée à l’échec, au vu des tentatives précédentes. Révision : - Remarque : une approche théorique devra probablement être mise en route. b) Se fondant sur les constatations et conclusions du rapport d’expertise pluridisciplinaire du 11 février 2020 de la N.________ et de son complément du 21 avril 2020, l’office intimé a estimé que depuis septembre 2013 le recourant disposait d’une capacité de travail entière, avec une baisse de rendement de 20 %, dans une activité adaptée à ses</w:t>
      </w:r>
    </w:p>
    <w:p>
      <w:r>
        <w:t>- 16 - limitations fonctionnelles (« pas de port de charge &gt; 10 kg, pas de travail sur une échelle, pas de marche prolongée et en terrain accidenté, pas de montée/descente d’escalier, pas de travail à genou ou accroupie »). aa) Posant les diagnostics de lombo-pseudo-sciatalgie droite chronique d’étiologie indéterminée avec petite hernie discale L5-S1 gauche révélée par une IRM en 2013 (M54.5), de douleurs chroniques du membre supérieur gauche d’étiologie indéterminée (M79.6), de neuropathie sensitive ulnaire gauche sans traduction clinique, de trouble dépressif récurrent en rémission (F33.4), d’accentuation de traits de personnalité de type borderline et paranoïaque (Z73.1) et de possible majoration des symptômes pour raison psychologique (F68.0), et retenant des limitations fonctionnelles similaires à celles prises en compte en 2015 par les experts du P.________, les experts de la N.________ ont constaté que l’état de santé du recourant s’était peu modifié depuis la précédente expertise médicale. aaa) Les experts de la N.________ n’ont pas trouvé d’explication médicale satisfaisante en lien avec l’impotence du membre fonctionnel gauche qui avait justifié la nouvelle demande de prestations de l’assurance-invalidité. Ils ont indiqué que ce déficit s’inscrivait dans un tableau plus global avec des lombo-pseudo-sciatalgies avec déficit sensitif du membre inférieur gauche, sans substrat anatomique et pour lesquels une dynamique de majoration des symptômes pour causes psychiques était retenue. A l’instar des experts du P.________ ils n’ont également pas trouvé d’atteinte objectivable expliquant les difficultés de déplacement du recourant. bbb) Du point de vue neurologique, les quelques anomalies retrouvées au membre supérieur gauche (nerf ulnaire) par les experts étaient en rapport avec une neuropathie sensitive, sans correspondance avec les plaintes cliniques du recourant. ccc) Sur le plan rhumatologique, les experts ont conclu à l’absence de maladie spécifique dans le contexte d’un examen clinique</w:t>
      </w:r>
    </w:p>
    <w:p>
      <w:r>
        <w:t>- 17 - pauvre et parasité par le comportement douloureux contrastant avec l’absence de raideur articulaire ou d’amyotrophie. Les troubles décrits radiologiquement (troubles dégénératifs modérés tant au niveau du genou droit que de la colonne lombaire et fracture consolidée du 5ème rayon métacarpe) justifiaient néanmoins des limitations fonctionnelles pour toutes activités physiquement lourdes, à genoux, comportant des levages de charges de manière régulière et des positions accroupies. ddd) Enfin, du point de vue psychiatrique, les experts ont retenu en premier lieu le diagnostic de trouble dépressif récurrent en raison d’une anamnèse d’épisode dépressif entrecoupé d’épisodes de rémission ; les troubles thymiques étaient actuellement amendés. Il convenait également de retenir le diagnostic d’accentuation de traits de la personnalité de type borderline et paranoïaque en raison d’une trajectoire de vie émaillée de difficultés relationnelles avec cinq mariages, tous conflictuels ; les traits de personnalité de type borderline et paranoïaque étaient constitués par une relative impulsivité, des décisions pouvant être impulsives, une tendance à la projection et au déni ; l’expertise avait cependant montré dans sa trajectoire existentielle des capacités d’adaptation certaines sans que l’on puisse retrouver de déviation extrême des pensées et des conduites, ce qui permettait d’exclure un trouble de la personnalité avéré. Enfin, un ensemble d’éléments faisait pencher en faveur d’une probable majoration des symptômes pour raison psychologique ; malgré une base d’altération somatique documentée, les plaintes étaient cependant changeantes d’un examen à l’autre, peu congruentes avec les constatations, mal systématisées et présentés parfois de manière outrancière ; l’exagération des plaintes ne procédait probablement pas d’un calcul délibéré, mais tirait sa motivation inconsciente d’un besoin de reconnaissance dans le cadre d’un vécu de victime incomprise et mal considérée. Théoriquement, et sur le plan psychiatrique exclusivement, le recourant paraissait capable d’assurer une activité adaptée aux éventuelles limitations physiques. eee) Les experts ont évalué, de manière consensuelle, la capacité de travail de l’assuré comme nulle depuis 2013 dans l’activité</w:t>
      </w:r>
    </w:p>
    <w:p>
      <w:r>
        <w:t>- 18 - habituelle d’aide-monteur électricien, mais de 80 % (100 % avec une baisse de rendement de 20 %) dans une activité adaptée aux limitations fonctionnelles retenues. Dans le complément d’expertise, ils ont expliqué que la diminution de rendement de 20 % au maximum était retenue du fait du syndrome douloureux chronique lequel induisait la nécessité de pauses pour des changements de positions et pour des étirements. La baisse de rendement n’était pas en lien avec le déficit neurologique apparu au membre supérieur gauche en 2016 ; selon l’expert neurologique, les minimes anomalies électrophysiologiques sensitives ulnaires gauches liées à l’utilisation de béquilles étaient en effet sans traduction clinique et donc sans répercussion sur la capacité de travail. bb) Pour le reste, le rapport d’expertise du 11 février 2020 et son complément du 21 avril 2020 reposent tous deux sur une étude circonstanciée du dossier et sur une anamnèse complète et comportent des conclusions claires et motivées. Le volet psychiatrique de l’expertise pluridisciplinaire a, au demeurant, été conduit conformément à la procédure structurée instaurée par l’ATF 141 V 281. Aussi, le rapport d’expertise et son complément revêtent une pleine valeur probante (cf. consid. 4f supra). c) Rien au dossier ne permet de remettre en cause les conclusions de l’expertise, les pièces produites décrivant au contraire une situation stable sur le plan médical. aa) Dans un rapport du 1er décembre 2020, le Dr V.________ indique avoir été consulté dans le cadre d’un suivi de bilan rhumatologique, en raison de recrudescence douloureuse des séquelles de paraparésies fonctionnelles et de l’état de la main du recourant. Sur la base de son examen clinique, ce médecin constate que les séquelles de l’accident rachidien de 2013 semblent stables comme la gonarthrose. S’agissant de l’état de la main, il rapporte un état également stable, avec la précision que deux chirurgiens consultés avaient déconseillé toute intervention.</w:t>
      </w:r>
    </w:p>
    <w:p>
      <w:r>
        <w:t>- 19 - bb) Dans un rapport du 17 décembre 2020, le Dr L.________, psychiatre traitant, ne met pas en évidence de symptômes marqués, mais fait part du contexte d’atteintes à la santé psychique et physique qui entravent l’évolution favorable de la symptomatologie clinique du recourant, laquelle reste néanmoins stationnaire depuis le début de sa prise en charge. cc) Dans un rapport du 24 juin 2021, le Dr T.________ diagnostique une coupure distale du pouce droit (mars 2021) ainsi que des polypathologies chroniques anciennes sans modification récente manifeste de ses composantes neurologiques. Il constate une hypoesthésie tacto- algésique pulpaire de la phalange distale du pouce droit, avec une cicatrice a priori calme et indolore ainsi qu’une faiblesse isolée de la phalange distale de ce pouce alors que la force des autres groupes musculaires de la main droite est conservée. Dans ce contexte, il préconise un avis de chirurgie de la main. dd) Dans un rapport du 1er juillet 2021, le Dr O.___________ diagnostique un status quatre mois après plaie versant cubital P2 pouce droit avec probable lésion des branches terminales des nerfs collatéraux et conclut à une hypoesthésie relativement importante de la pulpe du pouce droit de l’assuré avec éventuellement une lésion partielle du long fléchisseur du pouce demeurant toutefois fonctionnel. Il n’envisage toutefois aucune sanction chirurgicale, précisant qu’une exploration avec une éventuelle greffe de nerf n’est pas indiquée. d) En l’absence de mise en évidence d’une aggravation objective de l’état de santé du recourant propre à influencer le degré d’invalidité, et donc le droit à la rente, apparue postérieurement à la décision du 29 avril 2016, la situation du recourant s’avère superposable à celle qui avait cours à cette date et les conditions d’une révision au sens de l’art. 17 LPGA ne sont pas réunies. 6. Le dossier est complet, permettant à la Cour de statuer en connaissance. Un complément d’instruction apparaît ainsi inutile et la</w:t>
      </w:r>
    </w:p>
    <w:p>
      <w:r>
        <w:t>- 20 - requête formulée en ce sens par le recourant dans son acte de recours du 4 décembre 2021 – soit la réalisation d’une expertise judiciaire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7. a)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