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ZD21.049641 vom 21. Juni 2022</w:t>
      </w:r>
    </w:p>
    <w:p>
      <w:r>
        <w:t>VD Tribunal cantonal, 2022-06-21, FR</w:t>
      </w:r>
    </w:p>
    <w:p>
      <w:r>
        <w:rPr>
          <w:b/>
        </w:rPr>
        <w:t xml:space="preserve">Quelle: </w:t>
      </w:r>
      <w:r>
        <w:t>https://mcp.opencaselaw.ch/entscheid/vd_gerichte_ZD21.049641</w:t>
      </w:r>
    </w:p>
    <w:p>
      <w:r>
        <w:t>FR: VD_GERICHTE ZD21.049641 du 21 juin 2022</w:t>
      </w:r>
    </w:p>
    <w:p>
      <w:r>
        <w:t>IT: VD_GERICHTE ZD21.049641 del 21 giugno 2022</w:t>
      </w:r>
    </w:p>
    <w:p>
      <w:pPr>
        <w:pStyle w:val="Heading2"/>
      </w:pPr>
      <w:r>
        <w:t>Erwägungen</w:t>
      </w:r>
    </w:p>
    <w:p>
      <w:r>
        <w:rPr>
          <w:b/>
        </w:rPr>
        <w:t>E. 20</w:t>
      </w:r>
    </w:p>
    <w:p>
      <w:r>
        <w:t>%) dans une activité adaptée à ses limitations fonctionnelles (à savoir : pas de port de charges de plus de 10 kg ; pas de porte-à-faux ; alternance des positions). L'OAI a considéré, sur la base du rapport du 19 avril 2021 de son spécialiste en réinsertion professionnelle, qu'après pondération des revenus avec et sans invalidité, avec application d'un taux d'abattement de 10 %, le taux d'invalidité était de 17,8 %, ce qui était insuffisant pour lui ouvrir le droit à une rente d'invalidité. B. Par acte du 22 novembre 2021, S.________, par l'intermédiaire de son conseil, a recouru auprès de la Cour des assurances sociales du Tribunal cantonal, concluant, principalement, à sa réforme – intitulée, à tort, annulation – dans le sens de l'octroi de toutes prestations auxquelles il avait droit au titre de l'assurance-invalidité, en particulier une rente d'invalidité entière au-delà du 30 septembre 2016, et, subsidiairement, à son annulation, avec renvoi de la cause à l'intimé pour nouvelle décision dans le sens des considérants. Il a également requis la mise en œuvre d'une expertise multidisciplinaire judiciaire, de son audition personnelle et</w:t>
      </w:r>
    </w:p>
    <w:p>
      <w:r>
        <w:t>- 10 - de celles de ses médecins en qualité de témoin, ainsi que la tenue de débats publics. En substance, il a fait valoir une violation de son droit d'être entendu, du devoir d'instruction de l'intimé et des règles relatives au calcul de son préjudice économique, contestant à cet égard les revenus avec et sans invalidité, ainsi que l'absence d'application d'un taux d'abattement, celui-ci devant être porté à 15 %. En définitive, selon lui, une rente d'invalidité entière était justifiée, compte tenu de ses atteintes à la santé. Le 17 décembre 2021, le recourant a requis l'assistance judiciaire complète. Par décision du 21 décembre 2021, la juge instructrice a octroyé l'assistance judiciaire au recourant dans le sens de l'exonération d'avance et des frais judiciaires, ainsi que du paiement de toute franchise mensuelle, et lui a désigné un conseil d'office en la personne de Me Etienne Patrocle, le tout avec effet au 22 novembre 2021. Dans sa réponse du 17 janvier 2022, l'intimé a conclu au rejet du recours, renvoyant aux considérants de la décision litigieuse et à son courrier du 25 août 2021. Le 6 mars 2022, le recourant a transmis la liste des opérations de son conseil.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à une rente d'invalidité du recourant, singulièrement sur la capacité de travail au-delà du 17 juin 2016, date à partir de laquelle l'intimé a retenu une amélioration de sa capacité de travail. 3. Dans un grief de nature formelle, qu'il convient d'examiner à titre liminaire, le recourant se prévaut d'une violation de son droit d'être entendu (art. 29 al. 2 Cst. [Constitution fédérale de la Confédération suisse du 18 avril 1999 ; RS 101]). En substance, il soutient qu'en omettant les actes d'instruction nécessaires, l'intimé est contrevenu à son droit d'obtenir des actes d'instruction raisonnables. Tel qu'invoqué, ce grief tiré du droit d'être entendu porte bien plutôt sur le résultat de l'appréciation des preuves, de sorte qu'il se confond avec celui de la violation de l'obligation d'instruire (art. 43 LPGA), à savoir avec celui de la constatation manifestement inexacte (y compris arbitraire) ou incomplète des faits pertinents, également soulevé par le recourant. Ledit grief sera dès lors examiné avec le fond du litige. 4.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octobre 2021 (ATF 144 V 210 consid. 4.3.1 ; 138 V 176 consid. 7.1 ; TF 9C_881/2018 du 6 mars 2019 consid. 4.1).</w:t>
      </w:r>
    </w:p>
    <w:p>
      <w:r>
        <w:t>- 12 -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w:t>
      </w:r>
    </w:p>
    <w:p>
      <w:r>
        <w:t>- 13 - invalidité). C’est la méthode ordinaire de comparaison des revenus (art. 16 LPGA et 28a al. 1 LAI [dans sa teneur en vigueur au 31 décembre 2021]).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- 14 -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- 15 - sur l’exactitude de leurs conclusions (ATF 135 V 465 consid. 4.7 ; TF 8C_796/2016 du 14 juin 2017 consid. 3.3). e) En particulier,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f) De même,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w:t>
      </w:r>
    </w:p>
    <w:p>
      <w:r>
        <w:t>- 16 - peut encore raisonnablement exiger de lui (TFA I 531/04 du 11 juillet 2005 consid. 4.2 et les références citées). 6. En l'occurrence, le recourant reproche à l'intimé une violation de son obligation d’instruire au sens de l’art. 43 al. 1 LPGA. a) S'agissant en premier lieu de l'atteinte lombaire, les rapports médicaux sont nombreux et retiennent des évaluations différentes – et, pour la plupart, peu étayées – de la capacité de travail exigible du recourant dans une activité adaptée, sans qu'il ne soit toutefois possible de trancher cette question. aa) En effet, s'agissant de la note d'entretien du 20 avril 2015 du collaborateur de l'OAI, dans lequel celui-ci retranscrivait l'opinion de M.________, elle n'est de toute évidence pas probante. Outre le fait que M.________ n'apparait pas dans le registre des professions médicales, il s'agit d'une appréciation incomplète rapportée par un collaborateur de l'OAI et, partant, sujette à interprétation et à erreur. Quant au Dr G.________, dans son rapport d'expertise du 3 mars 2014, il s'est contenté de prédire qu'une activité adaptée (laquelle devait exclure les efforts, le port de charges lourdes et les stations debout ou assises prolongées) était à favoriser et que, dans ces circonstances, une reprise à 100 % de l'activité professionnelle semblait logique. Toutefois, à l'époque de cette appréciation, dite reprise était uniquement hypothétique, le recourant étant toujours en incapacité de travail totale dans toute activité. Pour sa part, le Dr V.________, aux termes de son rapport du 26 septembre 2014, s'est limité à encouragé une reconversion professionnelle, pour laquelle le recourant semblait motiver, sans néanmoins se prononcer sur la capacité de travail de ce dernier, que cela concerne l'activité habituelle ou un travail adapté. Il découle de ce qui précède que, dans ses avis SMR des 30 avril 2014 et 7 janvier 2015, le Dr F.________ n'était pas en mesure, sur la base des deux rapports susmentionnés, de tirer la conclusion que la capacité de travail dans</w:t>
      </w:r>
    </w:p>
    <w:p>
      <w:r>
        <w:t>- 17 - l'activité habituelle était nulle, mais demeurait entière dans une activité adaptée aux limitations fonctionnelles. Par ailleurs, ce n'est que dans son rapport du 24 mars 2016, dont on ignore s'il est fondé sur un examen clinique, que le Dr V.________ a évalué la capacité de travail du recourant pour la première fois. Cependant, ce neurochirurgien a essentiellement relayé les allégations du recourant pour conclure à l'inanité de mesures de réadaptation, à l'octroi d'une rente et à une capacité de travail nulle dans une activité adaptée aux limitations fonctionnelles, sans faire référence à d'éventuels résultats d'examens objectifs ou à ses constatations médicales. Cette appréciation est dès lors sujette à caution. bb) A ce stade de l'instruction, l'intimé ne disposait ainsi pas des informations nécessaires pour évaluer la capacité de travail du recourant. Pourtant, dans son avis SMR du 12 avril 2016, le Dr Z.________ a estimé, outre le fait que l'appréciation du 24 mars 2016 du Dr V.________ n'était pas suffisante, que, sous réserve d'une réadaptation, une activité adaptée aux limitations fonctionnelles initialement retenues était possible, à tout le moins, à temps partiel. Compte tenu des possibilités de réadaptation du recourant, le Dr Z.________ a dès lors requis que celles-ci, ainsi que la capacité de travail du recourant, soient examinées. C'est le lieu de relever que, nonobstant le fait que son appréciation est peu précise et étayée, ce médecin du SMR n'a émis qu'une hypothèse, laquelle devait encore être confirmée et ne pouvait être considérée comme étant définitive. Aussi, sur les recommandations du SMR, il a été mis en œuvre un stage d'observation professionnelle entre le 23 mai et le 17 juin 2016 auprès du COPAI de I.________. Cette mesure a donné lieu aux rapports des 6 juillet 2016 du directeur du COPAI et 22 juin 2016 du Dr H.________, lesquels ont constitué le principal fondement de la décision querellée, tel que cela ressort de l'avis SMR du 20 octobre 2020 de la Dre K.________. Or, ces rapports sont sommairement motivés et, au moment de la reddition de la décision litigieuse, dataient de plus de cinq ans, sans que l'intimé</w:t>
      </w:r>
    </w:p>
    <w:p>
      <w:r>
        <w:t>- 18 - n'ait véritablement examiné leurs résultats, réactualisé les renseignements médicaux relatifs à l'atteinte lombaire ou examiné les interactions potentielles avec les nouveaux troubles d'apnée du sommeil et de syndrome des jambes sans repos du recourant. En effet, la Dre K.________, dans son avis du 20 octobre 2020, s'est limitée à substituer l'appréciation du 12 avril 2016 du Dr Z.________ par les conclusions du 6 juillet 2016 du directeur du COPAI, sans les discuter. Par conséquent, lesdits rapports ne sauraient constituer une évaluation médicale et de la capacité de travail complète et probante du cas d'espèce. Au demeurant, le rapport du 28 octobre 2016 du Dr V.________, par lequel il retenait une capacité de travail dans une activité adaptée de 40 %, avec un rendement diminué, n'est pas suffisant pour permettre à la Cour de céans de former son appréciation. Il est brièvement motivé et était principalement destiné à la CNA, de sorte qu'il discutait davantage de la question de la stabilisation de l'état de santé du recourant, cette question n'étant pas relevante en l'espèce. b) S'agissant en second lieu du syndrome d'apnées-hypopnées du sommeil et du syndrome des jambes sans repos, ces atteintes ont été dûment constatées par les Drs T.________, à teneur de ses rapports du 17 janvier et 21 juin 2018, et X.________, dans ses rapports des 21 juin 2018 et 22 août 2019. Il ressort du premier rapport du 17 janvier 2018 du Dr T.________ que, si la capacité de travail du recourant demeurait entière du point de vue respiratoire, son rendement pouvait en revanche être diminué en raison de la fatigue diurne, élément qui méritait d'être réévalué une fois le traitement de respiration assistée appliqué correctement. Une fois que tel a été le cas, la symptomatologie du recourant ne s'en est toutefois pas retrouvée améliorée, conformément au second rapport du 21 juin 2018 du Dr T.________. Il paraît dès lors contradictoire que ce médecin, dans ce même rapport du 21 juin 2018, ait considéré que le syndrome d'apnée du sommeil semblait n'entrainer aucune diminution de rendement, ce médecin n'ayant au demeurant pas</w:t>
      </w:r>
    </w:p>
    <w:p>
      <w:r>
        <w:t>- 19 - explicité cette hypothèse. De même, à la question de savoir s'il pouvait chiffrer cette baisse de rendement, il a répondu par la négative. Cet élément ajoute à la contradiction. En effet, si cette diminution n'existait véritablement pas, tel que ce médecin le retenait plus haut dans son rapport, il devait être capable de l'indiquer clairement en réponse à la question, ce qui n'a pas été le cas. En parallèle, dans son rapport du 22 août 2019, le Dr X.________ a, quant à lui, confirmé la persistance du syndrome d'apnées-hypopnées du sommeil et du syndrome des jambes sans repos – étant rappelé que le traitement était bien appliqué à cette période – et conclu à une altération de la continuité et de la qualité du sommeil. Il a fondé son appréciation sur la base des résultats d'une seconde polysomnographie effectuée en nuit partagée entre le 21 et 22 août 2019. Celle-ci, bien que révélant des meilleurs résultats en comparaison avec le même examen réalisé entre le 20 et 21 juin 2018, confirmait que le syndrome d'apnées-hypopnées était d'origine obstructive et d'intensité sévère (avec un indice d'apnées-hypopnées de 27,6 par heure) et que l'agitation motrice avec mouvements périodiques des jambes était de 138,3 par heure sur l'ensemble de la nuit avec de nombreux micro-réveils. Il découle des rapports susmentionnés que la qualité du sommeil du recourant semble altérée et qu'une diminution de rendement ne saurait être exclue. Toutefois, cette question n'a pas été instruite à satisfaction par l'intimé. En effet, le SMR, dans son avis du 30 janvier 2018, s'est focalisé sur le constat d'une pleine capacité de travail du point de vue respiratoire et sur la mauvaise compliance au traitement mentionnées dans le premier rapport du 17 janvier 2018 du Dr T.________. Quant à son avis du 21 juillet 2020, si le SMR a mentionné le second rapport du 21 juin 2018 du Dr T.________ et les différents rapports du Dr X.________, leurs contenus et résultats n'ont en rien été discutés. En particulier, le SMR ne s'est pas prononcé sur l'intensité sévère du syndrome d'apnées-hypopnées, malgré la compliance au traitement nouvellement constatée, ni sur le constat d'une agitation motrice et d'une altération de la continuité et de la qualité du sommeil. Il était à tout le</w:t>
      </w:r>
    </w:p>
    <w:p>
      <w:r>
        <w:t>- 20 - moins exigible du SMR de se prononcer sur les valeurs résultant des polysomnographies, cas échéant de les traduire en termes de limitations fonctionnelles et de capacité de travail. Il n'a également pas éclairci les contradictions susmentionnées du rapport du 21 juin 2018 du Dr T.________. c) En présence d'une évaluation lacunaire de la capacité de travail du recourant en relation avec chacune des atteintes précitées, il doit être constaté que l'intimé a violé son obligation d'instruire, au sens de l'art. 43 al. 1 LPGA.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afin qu'elle recueille des informations auprès des médecins traitants du recourant et qu'elle en apprécie le contenu, en fonction duquel elle examinera la nécessité de la mise en œuvre d'un examen auprès du SMR, le cas échéant d'une expertise. Dans ce cadre, l'intimé procédera</w:t>
      </w:r>
    </w:p>
    <w:p>
      <w:r>
        <w:t>- 21 - également à l'instruction de la nouvelle atteinte cardiaque annoncée par le recourant en date du 12 octobre 2021 et, le cas échéant, déterminera ses interactions avec les troubles préexistants du recourant. c) Il découle également de ce qui précède que les mesures d’instruction requises auprès de la Cour de céans, tendant à la mise en œuvre d’une expertise pluridisciplinaire et à l'audition personnelle du recourant ainsi qu'à celles de ses médecins traitants sont rejetées.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n°16 ad art. 61 LPGA). Au vu du sort du recours, il peut ainsi être renoncé à la mise en œuvre de tels débats. 8. Compte tenu de l'issue du litige, il n'y a pas lieu de traiter les motifs soulevés par le recourant quant au calcul du taux d'invalidité. Toutefois, il est précisé que l'intimé a manifestement commis une erreur dans la décision litigieuse. Il a en effet arrêté le taux d'invalidité à 17,8 %, sur la base du calcul du préjudice économique effectué le 19 avril 2021 par son service de réadaptation. Or, tel qu'indiqué dans son courrier du 25 août 2021, il devait intégrer, dans la décision litigieuse, le nouveau calcul rectifié du 24 août 2021 de son service de réadaptation, lequel retenait un degré d'invalidité de 10,35 %. Il lui reviendra de corriger cette inadvertance, tout en examinant le bien-fondé des critiques soulevées par le recourant au cours de la procédure judiciaire. Dans ce cadre et à toutes fins utiles, il est précisé, s'agissant du grief du recourant, selon lequel son revenu sans invalidité devrait être porté à 71'000 fr., compte tenu d'une future progression salariale,</w:t>
      </w:r>
    </w:p>
    <w:p>
      <w:r>
        <w:t>- 22 - d'heures supplémentaires et des responsabilités que lui confiaient son employeur, que l'on ne tient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op. cit., n° 18 ad art. 16 LPGA). Par surabondance, il semble que l'employeur appliquait au recourant le salaire horaire minimal de 25 fr. 86 prévu par la Convention collective de travail (CCT) de la branche suisse de l'installation électrique et de l'installation de télécommunication du 1er janvier 2005-2014 (art. 35.4 et annexe 8) concernant les collaborateurs avec seulement un titre scolaire dans la branche et bénéficiant de cinq ans d'expérience professionnelle (cf. arrêtés des 11 novembre 2004 et 30 juin 2008 du Conseil fédéral étendant le champ d’application de ladite CCT). Cela étant, à ce stade, le recourant ne semble pas se prévaloir d'élément concret qui permettrait d'établir au degré de la vraisemblance prépondérante qu'il aurait eu droit à une augmentation de salaire, laquelle aurait été supérieure aux minima de la CCT, ou que l'expérience acquise lui aurait automatiquement apporté une promotion (cf. TF 8C_290/2013 et 8C_304/2013 du 11 mars 2014 consid. 6.2). 9. a) En définitive, le recours doit être admis, la décision litigieuse annulée et la cause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w:t>
      </w:r>
    </w:p>
    <w:p>
      <w:r>
        <w:t>- 23 - c) La partie recourante obtient gain de cause et a droit à une indemnité de dépens à titre de participation aux honoraires de son conseil (art. 61 let. g LPGA). Après examen de la liste des opérations déposée le 6 mars 2022 par Me Etienne Patrocle, compte tenu de l’importance et de la complexité du litige, il convient d’arrêter l’indemnité à 2'715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