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ZD21.049367 vom 10. Februar 2023</w:t>
      </w:r>
    </w:p>
    <w:p>
      <w:r>
        <w:t>VD Tribunal cantonal, 2023-02-10, FR</w:t>
      </w:r>
    </w:p>
    <w:p>
      <w:r>
        <w:rPr>
          <w:b/>
        </w:rPr>
        <w:t xml:space="preserve">Quelle: </w:t>
      </w:r>
      <w:r>
        <w:t>https://mcp.opencaselaw.ch/entscheid/vd_gerichte_ZD21.049367</w:t>
      </w:r>
    </w:p>
    <w:p>
      <w:r>
        <w:t>FR: VD_GERICHTE ZD21.049367 du 10 février 2023</w:t>
      </w:r>
    </w:p>
    <w:p>
      <w:r>
        <w:t>IT: VD_GERICHTE ZD21.049367 del 10 febbraio 2023</w:t>
      </w:r>
    </w:p>
    <w:p>
      <w:pPr>
        <w:pStyle w:val="Heading2"/>
      </w:pPr>
      <w:r>
        <w:t>Erwägungen</w:t>
      </w:r>
    </w:p>
    <w:p>
      <w:r>
        <w:rPr>
          <w:b/>
        </w:rPr>
        <w:t>E. 5</w:t>
      </w:r>
    </w:p>
    <w:p>
      <w:r>
        <w:t>En l’espèce, l’autorité intimée a refusé d’allouer une rente d’invalidité, au motif que le recourant ne présente pas d’atteinte à la santé qui puisse être qualifiée d’invalidante au sens de l’assurance- invalidité et ne justifie aucune incapacité de travail de longue durée. Cette décision se base essentiellement sur les constatations et les conclusions</w:t>
      </w:r>
    </w:p>
    <w:p>
      <w:r>
        <w:t>- 19 - du rapport d’expertise pluridisciplinaire (médecine interne, psychiatrie et rhumatologie) du 11 mars 2021 du N.________. De son côté, le recourant déplore l’instruction médicale de son cas menée par l’office intimé. Ce faisant, il dénonce une expertise pluridisciplinaire figurant au dossier dénuée de valeur probante, singulièrement dans son volet psychiatrique qui ne respecte pas le cadre d’un examen global, en tenant compte des différents indicateurs pour l’appréciation tant des affections psychosomatiques que des affections psychiques qui doivent en principe faire l’objet d’une procédure probatoire structurée au sens de l’ATF 141 V 281 (ATF 143 consid. 6 et 7), et de leur effet sur la capacité de travail. Il déplore par ailleurs l’absence d’analyse rhumatologique des treize tender points positifs relevés, et reproche à l’expert psychiatre d’écarter sans motif l’avis de la médecin spécialiste traitante. a) D’abord, le recourant se réfère à la jurisprudence en matière d’affections psychosomatiques, notamment en ce qui concerne la fibromyalgie, le trouble somatoforme douloureux persistant et le retard mental. Il soutient que l’expertise du N.________ ne satisfait pas aux réquisits jurisprudentiels rappelés. En ce qui concerne le diagnostic de retard mental léger, jugé non incapacitant au motif qu’il souffre de cette limitation depuis son plus jeune âge, le recourant plaide que cette justification se heurterait à la jurisprudence qui se fonde sur une description objective des effets de la déficience intellectuelle sur le comportement, l’activité professionnelle, les activités normales de la vie quotidienne et l’environnement. En outre, le caractère « invalidant » du retard mental ressortirait de la description objective des effets de la limitation contenue dans les rapports de l’E.__________. Un tel constat s’imposerait d’autant plus au regard de l’ensemble des atteintes à la santé. Pour ce qui concerne la fibromyalgie, le recourant soutient qu’en retenant treize tender points positifs avec les autres critères tous</w:t>
      </w:r>
    </w:p>
    <w:p>
      <w:r>
        <w:t>- 20 - remplis, les experts devaient logiquement poser un diagnostic incapacitant de fibromyalgie, ou à tout le moins expliquer les motifs justifiant de s’en écarter. Il en irait de même des répercussions de l’obésité et de dysbalance musculaire – ayant un lien avec la fibromyalgie – écartés à tort des diagnostics incapacitants. Le recourant allègue encore, sur la base des constatations faites durant la mesure d’entraînement progressif auprès de l’E.__________, que d’« autres troubles psychiques » devraient être retenus. b) En l’occurrence, le recourant fait une lecture biaisée de l’expertise du N.________. Il se méprend en tant qu’il reproche aux experts d’avoir écarté le diagnostic de retard mental léger au seul motif qu’il souffre de cette limitation depuis son jeune âge. Même s’il n’est pas jugé incapacitant, le diagnostic de « F70 Retard mental léger, possible » figure dans la liste des diagnostics en position 3. Ensuite, contrairement à ce que soutient le recourant, se conformant strictement à la jurisprudence en la matière (cf. consid. 3d supra), les experts ont effectué des tests pour déterminer le quotient intellectuel (QI), puis ont examiné en quoi un faible quotient pouvait limiter l’assuré. Dans ce contexte, ils ont constaté que si cette limitation remontait à l’enfance, cette déficience n’avait pas été un obstacle à l’exercice d’une activité professionnelle durant deux ans au Maroc et pendant dix années en Suisse sur le marché libre (d’abord dans une pizzeria puis au M.________). En outre, l’intéressé avait pu gérer ses affaires administratives, tenir son ménage (sans bénéficier d’aucune aide à domicile professionnelle), gérer lui-même son traitement habituel (avec un pilulier qu’il préparait) et s’occuper de son fils durant le droit de visite (un weekend sur deux ainsi que la moitié des vacances) avec lequel il avait fait des séjours en montagne. Il n’a ni fait l’objet d’une enquête, ni a fortiori, bénéficié d’une mesure de protection de l’adulte. Il n’utilisait par ailleurs aucun moyen auxiliaire et rendait visite à l’une de ses sœurs à [...] qu’il voyait à Noël ainsi qu’une fois par mois. Aussi, la mise en exergue de ce constat et ses répercussions sur la vie quotidienne de l’assuré ont été évaluées et ont conduit les experts à ne pas retenir, à juste titre, un diagnostic incapacitant à cet égard. En tant que le recourant plaide que son retard mental léger se ressent de manière objective dans les rapports</w:t>
      </w:r>
    </w:p>
    <w:p>
      <w:r>
        <w:t>- 21 - d’évaluation de l’E.__________, il ne convainc pas davantage. D’une part,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9C_83/2013 et 9C_104/2013 du 9 juillet 2013 consid. 4.2, 9C_426/2011 du 14 décembre 2011 consid. 4.3 et 9C_854/2010 du 30 décembre 2010 consid. 3.2 et les références citées; TFA 762/2002 du 6 mai 2003 consid. 2), et d’autre part, la simple « intolérance aux frustrations » – même si elle figure également dans l’expertise – n’est pas suffisante à admettre un diagnostic incapacitant de retard mental léger, l’origine de ce comportement n’étant pas mise en relation avec un déficit intellectuel. Le grief doit par conséquent être rejeté. S’agissant du diagnostic de fibromyalgie, le seul constat de treize tender points par les experts, ne suffit pas non plus à admettre un diagnostic incapacitant. Il convient d’emblée de noter que le diagnostic a également été retenu en position 4 dans la liste. Le recourant ne parvient pas non plus à rendre vraisemblable que la tenue de son ménage privé ne serait pas comparable à une activité professionnelle, invoquant qu’il vit complètement seul, qu’il ne prend même pas soin de lui-même et que les troubles du sommeil et la fatigue sont en lien avec cette maladie, en sorte que le diagnostic incapacitant ne pouvait être exclu. Or les experts ont examiné la situation à la lumière de l’ensemble des limitations fonctionnelles objectives des atteintes à la santé et évalué correctement leur répercussion sur la capacité de travail en toute connaissance de cause. Quant à l’obésité de classe 1 avec un indice de masse corporelle (IMC) de 31 kg/m2 du recourant au jour de l’expertise, qui figure également dans la liste des diagnostics en position 10, comme le syndrome de dysbalance musculaire ainsi que le raccourcissement de la chaine musculaire postérieure, elle a été constatée, mais comme facteur favorisant d’une part la symptomatologie douloureuse lombo-vertébrale, d’autre part une forte probabilité d'avoir une apnée du sommeil, qui en</w:t>
      </w:r>
    </w:p>
    <w:p>
      <w:r>
        <w:t>- 22 - cas de confirmation de cette déficience serait totalement traitable sous CPAP (Continuous Positive Airway Pressure), ce qui a respectivement justifié un diagnostic incapacitant et impliquant des limitations fonctionnelles, et peut être mis en lien – au moins au stade de la vraisemblance prépondérante – avec les troubles du sommeil et la fatigue. Dans ce contexte, les experts ont du reste préconisé un amaigrissement progressif pour atteindre un IMC inférieur à 25 kg/m2, en pratiquant des activités physiques adaptées, de type cardio-training et renforcement musculaire, trois à cinq fois par semaine, pendant quarante-cinq à soixante minutes, chaque session (incluant par exemple une rééducation en piscine), et un suivi régulier diététique. Il est donc erroné de soutenir que ces éléments n’ont pas été pris en compte par les experts. Le recourant, sans étayer davantage son propos, reproche aux experts de ne pas avoir retenu d’« autres troubles psychiques », alors que les rapports de l’E.__________ mettent en évidence des difficultés. C’est le lieu de rappeler une nouvelle fois que les rapports E.__________ n’ont pas de pertinence médicale selon la jurisprudence exposée ci-avant, qu’ils n’ont précisément pas été établis sur la base d’une procédure probatoire structurée au sens de l’ATF 141 V 281, en sorte qu’ils ne sauraient à eux seuls valablement remettre en doute la valeur probante de l’expertise du N.________. A cela s’ajoute que les experts ont retenu d’autres diagnostics du registre psychiatrique et que le comportement du recourant en mesure de réinsertion professionnelle mise en place chez E.__________ d’octobre 2018 à janvier 2019 a certes permis de déceler des attitudes problématiques, sans qu’elles ne doivent être considérées comme incapacitantes, voire qu’il faille rattacher ces problèmes comportementaux à des facteurs biomédicaux, du ressort de l’assurance-invalidité. Comme le relève justement le recourant, sa dernière activité professionnelle remonte à dix ans et un déconditionnement paraît plus probablement à l’origine de cette attitude inadaptée. Aussi, en l’absence d’un diagnostic incapacitant du registre des affections psychosomatiques, une appréciation en fonction de la grille d'évaluation normative et structurée selon l’ATF 141 V 281 (cf. consid. 3d</w:t>
      </w:r>
    </w:p>
    <w:p>
      <w:r>
        <w:t>- 23 - supra) n'avait pas à être effectuée (TF 9C_176/2018 du 16 août 2018, consid. 3.2.2). Cela étant et en tout état de cause, il ressort du rapport du N.________ que l’ensemble des indicateurs ont été examinés par les experts, en sorte que la critique est mal fondée. c) Le recourant conteste ensuite la valeur probante de l’expertise du N.________ au motif qu’elle s’écarte des constatations et des diagnostics de sa psychiatre traitante, en sorte que ces différences de diagnostics infondées ou fondées sur l’ancienne jurisprudence en la matière justifieraient de se distancer de cette expertise. d) En l’occurrence, la psychiatre traitante a estimé qu’il y avait une aggravation de l’état de santé même si elle rapporte depuis l’automne une stabilisation de la dépression, voire une évolution favorable, et qu’une dépendance à l’alcool doit être retenue. Elle évalue pour sa part la capacité de travail de son patient comme nulle dans toute activité depuis juillet 2019. Or, il convient de relever que l’expert psychiatre I.__________ a, sous la rubrique « évaluation et classification des troubles par rapport aux évaluations antérieures », passé en revue et discuté les diagnostics différentiels de la psychiatre traitante en expliquant avec soin les motifs médicaux qui le conduisait à ne pas retenir ces diagnostics. Quant à la dépendance à l’alcool, bien qu’une dépendance avec une consommation importante ait été relevée, une amélioration est toutefois constatée par la psychiatre traitante elle-même dans son rapport de juillet 2020, qui évoque une consommation épisodique du produit. Le recourant n’a en outre aucun traitement spécifique pour lutter contre cette addiction. Dans ces conditions, bien qu’une consommation importante ait été relevée, elle n’est pas encore constitutive d’une alcoolémie avérée au long cours. Le Dr I.__________ du N.________, s’en tenant à son rôle d’expert, a distingué les éléments subjectifs basés sur les plaintes exprimées et ses propres constatations médicales pour classer les diagnostics et leur répercussion éventuelle sur la capacité de travail. La psychiatre traitante fonde son avis, qui n’est au demeurant pas diamétralement distinct de la position de l’expert, sur les plaintes de son patient. Or de tels éléments subjectifs ne sauraient à eux</w:t>
      </w:r>
    </w:p>
    <w:p>
      <w:r>
        <w:t>- 24 - seuls en aucun cas constituer une base fiable de décision. De manière générale et s’agissant des rapports des psychiatres traitants, il convient de rappeler qu’il est admis de jurisprudence constante que le médecin traitant est généralement enclin, en cas de doute, à prendre parti pour son patient en raison de la relation de confiance qui l’unit à ce dernier (ATF 135 V 465 consid. 4.5). Cela étant, la psychiatre traitante de l’époque a aussi retenu que la séparation suivie du divorce de l’assuré l’avait conduit à développer une dépendance à l’alcool et au cannabis et à la cocaïne très occasionnellement (cf. rapport du 19 mars 2018 de la Dre C.________, p. 3), et avait eu une incidence sur son état de santé lors de la mesure de réadaptation à l’E.__________. Depuis cet épisode de vie tourmentée, la consommation d’alcool avait diminué selon la Dre L.________. Le grief doit par conséquent être rejeté. Pour être complet, on ajoutera que c’est par ailleurs en vain que la psychiatre traitante tente de remettre en cause la qualité du travail de l’expert psychiatre en soutenant que seul un examen d’une durée de 1h15 a eu lieu quand bien même il s’agissait de la problématique centrale. Selon la jurisprudence, le rôle de l’expert consiste notamment à se prononcer sur l'état de santé psychique de l'assuré dans un délai relativement bref (TF 9C_443/2008 du 28 avril 2009 consid. 4.4.2 et la référence), si bien que le grief de la Dre L.________, selon lequel l’expert I.__________ a vu le recourant durant une durée limitée, est manifestement mal fondé, d’autant que la durée de l’examen expertal n’est pas négligeable.</w:t>
      </w:r>
    </w:p>
    <w:p>
      <w:r>
        <w:rPr>
          <w:b/>
        </w:rPr>
        <w:t>E. 6</w:t>
      </w:r>
    </w:p>
    <w:p>
      <w:r>
        <w:t>Le recourant conteste l’évaluation de la répercussion des atteintes sur la capacité de travail effectuée par les experts du N.________, rappelant que les diagnostics retenus ne sont pas déterminants, à l’inverse de leur répercussion sur la capacité de travail. Il soutient à cet égard que si l’expertise devait néanmoins être tenue pour probante, sa capacité de travail serait nulle dans toute activité sur le marché libre de l’emploi en raison de ses multiples limitations. La critique du recourant est essentiellement une allégation de partie qui n’a aucune portée propre sur l’issue du litige dès lors qu’il se</w:t>
      </w:r>
    </w:p>
    <w:p>
      <w:r>
        <w:t>- 25 - limite à affirmer que sa capacité de travail est nulle dans toute activité sans objectiver son propos. A l’inverse, comme examiné ci-avant (cf. consid. 5 supra), la capacité de travail résiduelle du recourant a été évaluée par les experts de manière objective et en parfaite conformité aux exigences de la jurisprudence (cf. consid. 4b supra) ; le rapport d’expertise est pleinement probant. En effet, il comporte une anamnèse complète, est le fruit d’un examen multidisciplinaire lege artis, fait état de considérations dûment documentées et d’observations, qui, après discussion des avis divergents, ne laissent place à aucune contradiction dans leur motivation, tant sur le plan des diagnostics que celui des limitations fonctionnelles retenues ainsi que des répercussions sur la capacité de travail. Ce rapport contient des conclusions claires, posées au terme d’un consilium sur l’appréciation globale du cas. En l’absence d’éléments objectivement vérifiables – de nature clinique ou diagnostique – qui auraient été ignorés dans le cadre de l’expertise et qui seraient suffisamment pertinents pour remettre en cause le bienfondé des conclusions ou en établir le caractère incomplet, il n’y a pas lieu de se distancer des constatations et des conclusions de l’expertise du N.________. Cela étant, les experts retiennent des limitations fonctionnelles ; du point de la médecine interne et de la psychiatre, il n’y a pas de limitation fonctionnelle dans des activités correspondant aux aptitudes et capacités du recourant, alors que sur le plan rhumatologique, à titre préventif pour éviter toute aggravation des troubles dégénératifs probables, il y a lieu de limiter le port de charges jusqu’à dix kilos ainsi que d’éviter des postures forcées ou en porte-à-faux qui surchargent le rachis dans sa totalité. Ils estiment toutefois que la capacité de travail de l’assuré est entière dans toute activité, dont celle habituelle d’aide de cuisine, respectant ces restrictions et que la situation devrait rester stable, tant sous l’angle psychique que somatique. Contrairement à ce qu’il allègue, le recourant, qui a un suivi psychiatrique adapté à dires d’experts, peut donc pleinement mettre en valeur sa capacité de travail dans une activité adaptée. Dans le même sens, il ressort du dossier qu’en dépit de troubles du spectre de dépression dès l’enfance, l’assuré a notamment travaillé durant dix années en Suisse sans qu’il ne soit établi que son état de santé se soit péjoré de manière durable (sinon de manière épisodique,</w:t>
      </w:r>
    </w:p>
    <w:p>
      <w:r>
        <w:t>- 26 - notamment durant son divorce en 2019). Chez cet assuré, tout au plus, sa longue absence du marché du travail et le déconditionnement corrélatif pourraient constituer un frein éventuel. Or s'agissant du « contexte social », les contraintes sociales qui ont directement des conséquences fonctionnelles négatives doivent être écartées dans l’examen de l’assurance-invalidité (ATF 127 V 297 consid. 5a). A nouveau, le grief doit être rejeté.</w:t>
      </w:r>
    </w:p>
    <w:p>
      <w:r>
        <w:rPr>
          <w:b/>
        </w:rPr>
        <w:t>E. 7</w:t>
      </w:r>
    </w:p>
    <w:p>
      <w:r>
        <w:t>Le recourant soutient enfin, à titre subsidiaire, que si une capacité de travail devait être retenue, un abattement sur le revenu d’invalide se justifierait au regard des circonstances d’espèce, notamment en raison d’absences imprévisibles dues à une décompensation, à son intelligence limitée et de sa nécessité de porter des chaussures spéciales. La jurisprudence considère que lorsqu'un assuré est capable de travailler à plein temps mais avec une diminution de rendement, celle- ci est prise en considération dans la fixation de la capacité de travail, de sorte qu'en principe, il n'y a pas lieu d'effectuer en sus un abattement en raison des limitations fonctionnelles à l'origine de la diminution de rendement (TF 8C_403/2017 du 25 août 2017 consid. 4.3 in fine et les références; TF 9C_378/2014 du 21 octobre 2014 consid. 4.3.3, in SVR 2015 IV n° 8 p. 23). Dans le cas particulier toutefois, les experts retiennent, de manière probante, que la capacité de travail du recourant est entière dans toute activité adaptée, dont celle habituelle d’aide de cuisine, respectant les limitations retenues. Aucune diminution de rendement n’est retenue. Il n’y a pas lieu de procéder en l’espèce à une comparaison des revenus au sens de l’art. 16 LPGA, et partant de chercher à établir le gain hypothétique d’invalide, avec ou sans prise en compte d’un abattement, dès lors que l’absence d’incapacité de travail dans l’activité usuelle pleinement exigible se confond avec le degré d'invalidité. En tout état de cause, il apparaît que le recourant présente une critique floue et se limite à faire état de la jurisprudence rendue en la matière, sans rendre vraisemblable en quoi les cas qu’il cite seraient similaires à son affaire. Même dans l’hypothèse, non retenue en l’espèce,</w:t>
      </w:r>
    </w:p>
    <w:p>
      <w:r>
        <w:t>- 27 - d’une capacité de travail résiduelle avec une baisse de rendement dans une activité adaptée, il n’y aurait en particulier pas lieu de procéder à un abattement afin de tenir compte des limitations fonctionnelles. Il convient de rappeler en effet qu’une réduction du salaire statistique au titre du handicap dépend de la nature des limitations fonctionnelles et n’entre en considération que si, sur un marché du travail équilibré, il n’y a plus un éventail suffisamment large d’activités accessibles à l’assuré. Or les restrictions fonctionnelles retenues à titre préventif par les experts, pour rappel une limitation du port de charges jusqu’à dix kilos ainsi que l’évitement des postures forcées ou en porte-à-faux surchargeant le rachis dans sa totalité, ne sauraient constituer un quelconque frein à la reprise d’une activité adaptée. Il existe en effet un large éventail d’activités variées et non qualifiées accessibles au recourant au vu de ses limitations fonctionnelles non incapacitantes qui se limitent au port de charges légères ainsi qu’aux positions non forcées ou en porte-à-faux évitant une surcharge du rachis (cf. TF 9C_497/2012 du 7 novembre 2012 ; TF I 383/2006 du 5 avril 2007 consid. 4.4). Le grief est donc manifestement infondé.</w:t>
      </w:r>
    </w:p>
    <w:p>
      <w:r>
        <w:rPr>
          <w:b/>
        </w:rPr>
        <w:t>E. 8</w:t>
      </w:r>
    </w:p>
    <w:p>
      <w:r>
        <w:t>Le recourant requiert, à titre subsidiaire, la mise en œuvre d’une nouvelle expertise pluridisciplinaire, au besoin par renvoi de la cause à l’autorité intimée. Le dossier est complet, permettant ainsi à la Cour de céans de statuer en connaissance de cause sur l’état de santé et les limitations fonctionnelles ainsi que leur incidence éventuelle sur la capacité de travail du recourant. Un complément d’instruction apparaît inutile et la requête formulée en ce sens par l’intéressé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(appréciation anticipée des preuves ; ATF 145 I 167 consid. 4.1, 140 I 285 consid. 6.3.1 et 130 II 425 consid. 2.1). Un tel constat s’impose a fortiori en ce qui concerne le renvoi de la cause par l’admission du</w:t>
      </w:r>
    </w:p>
    <w:p>
      <w:r>
        <w:t>- 28 - recours, la Cour s’estimant suffisamment renseignée sans que la mesure sollicitée ne parvienne à ébranler sa conviction.</w:t>
      </w:r>
    </w:p>
    <w:p>
      <w:r>
        <w:rPr>
          <w:b/>
        </w:rPr>
        <w:t>E. 9</w:t>
      </w:r>
    </w:p>
    <w:p>
      <w:r>
        <w:t>a) En définitive, le recours, mal fondé, doit être rejeté et la décision attaquée confirmée. b) La procédure de recours en matière de contestations portant sur l’octroi ou le refus de prestations de l’assurance- invalidité est soumise à des frais de justice (art. 69 al. 1bis première phrase LAI). Il convient de les fixer à 600 fr. et de les mettre à la charge du recourant, vu le sort de ses conclusions. Toutefois dès lors que ce dernier a obtenu, au titre de l’assistance judiciaire, l’exonération d’avances et des frais de justice, ces frais sont laissés provisoirement à la charge de l’Etat. Le recourant est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N’obtenant pas gain de cause, le recourant, bien qu’assisté d’un mandataire,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