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ZD21.047380 vom 13. Juli 2022</w:t>
      </w:r>
    </w:p>
    <w:p>
      <w:r>
        <w:t>VD Tribunal cantonal, 2022-07-13, FR</w:t>
      </w:r>
    </w:p>
    <w:p>
      <w:r>
        <w:rPr>
          <w:b/>
        </w:rPr>
        <w:t xml:space="preserve">Quelle: </w:t>
      </w:r>
      <w:r>
        <w:t>https://mcp.opencaselaw.ch/entscheid/vd_gerichte_ZD21.047380</w:t>
      </w:r>
    </w:p>
    <w:p>
      <w:r>
        <w:t>FR: VD_GERICHTE ZD21.047380 du 13 juillet 2022</w:t>
      </w:r>
    </w:p>
    <w:p>
      <w:r>
        <w:t>IT: VD_GERICHTE ZD21.047380 del 13 luglio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de la recourante à une rente entière depuis le 1er février 2016.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w:t>
      </w:r>
    </w:p>
    <w:p>
      <w:r>
        <w:t>- 12 - matière de droit transitoire, l'ancien droit reste en l'espèce applicable, au vu de la date de la décision litigieuse rendue le 7 octobre 2021 (ATF 144 V 210 consid. 4.3.1 ; 138 V 176 consid. 7.1 ; TF 9C_881/2018 du 6 mars 2019 consid. 4.1).</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w:t>
      </w:r>
    </w:p>
    <w:p>
      <w:r>
        <w:t>- 13 -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[dans sa teneur en vigueur au 31 décembre 2021] en corrélation avec les</w:t>
      </w:r>
    </w:p>
    <w:p>
      <w:r>
        <w:t>- 14 - art. 8 al. 3 LPGA et 27 RAI [dans sa teneur en vigueur au 31 décembre 2021]).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[dans sa teneur en vigueur au 31 décembre 2021] en corrélation avec l'art. 27bis RAI; voir par ailleurs ATF 131 V 51 consid. 5.1.2 p. 53). 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w:t>
      </w:r>
    </w:p>
    <w:p>
      <w:r>
        <w:t>- 15 -</w:t>
      </w:r>
    </w:p>
    <w:p>
      <w:r>
        <w:rPr>
          <w:b/>
        </w:rPr>
        <w:t>E. 4</w:t>
      </w:r>
    </w:p>
    <w:p>
      <w:r>
        <w:t>En l’espèce, la décision attaquée octroie une rente entière du 1er février 2016 au 30 novembre 2016, puis un quart de rente dès le 1er janvier 2018. Elle est fondée sur une expertise de F.________ SA et son complément s’agissant de l’évaluation de l’état de santé ainsi que sur un statut 70 % active – 30 % ménagère et l’art. 27bis RAI en vigueur dès le 1er janvier 2018 pour le calcul du degré d’invalidité.</w:t>
      </w:r>
    </w:p>
    <w:p>
      <w:r>
        <w:rPr>
          <w:b/>
        </w:rPr>
        <w:t>E. 5</w:t>
      </w:r>
    </w:p>
    <w:p>
      <w:r>
        <w:t>a) Dans un premier moyen, la recourante fait grief à l’intimé d’avoir retenu un statut mixte de personne active à 70 % et de ménagère à 30 % et, par conséquent, d’avoir évalué de manière erronée l’invalidité. Elle fait valoir que, sans invalidité, elle aurait travaillé à plein temps dès le 1er janvier 2015, comme l’a confirmé son ancien employeur. Elle déplore l’absence d’examen sur ce point de la part de l’OAI. En présence de déclarations qu’elle considère invariables, elle soutient que la jurisprudence sur les « premières déclarations ou des déclarations de la première heure » ne lui est pas opposable (sur cette notion, cf. ATF 121 V 45 consid. 2a ; TF 8C_399/2014 du 22 mai 2015 consid. 4.2 et la référence citée). b) Il existe plusieurs éléments concordants au dossier de nature à remettre en cause le raisonnement qui a conduit l’intimé, dans le cas particulier, à retenir un statut mixte et, par voie de conséquence l’application de la méthode mixte de comparaison des revenus. Dans le formulaire de détermination du statut (part active / part ménagère) du 15 septembre 2015, l’assurée a fait état d’un taux d’activité de 70 % depuis décembre 2013 dans la profession d’avocate ; il peut être déduit de cette mention qu’elle se réfère au taux d’activité contractuel correspondant à sa prise d’emploi auprès de la société J.________ Sàrl dès le 1er décembre 2013. La question de savoir si cette indication lui est définitivement opposable ne saurait être tranchée sur la base des seuls formulaire 531bis ou questionnaire pour l’employeur alors que ces documents ne comportent aucune rubrique spécifique concernant les perspectives professionnelles de l’assuré (modification de taux, perspective d’avancement, etc.) et que, comme en l’occurrence, différentes pièces au dossier, antérieures à la décision litigieuse, tendent à</w:t>
      </w:r>
    </w:p>
    <w:p>
      <w:r>
        <w:t>- 16 - démontrer que l’allégation d’une augmentation du taux d’activité à 100 % ne relève pas de l’opportunisme. En effet, aux experts du T.________ elle a fait part d’un taux d’activité nettement supérieur à celui contractuel de 70 % avec la précision qu’au moment de l’apparition des troubles à la santé, elle était sur le point d’ouvrir sa propre société (rapport d’expertise, p. 6). Elle faisait vraisemblablement référence à l’ouverture de la succursale [...] par son employeur, dont elle avait été chargée de la mise en place. Lors de l’enquête ménagère à domicile, elle a également mentionné qu’une augmentation de son taux d’activité était envisagée quand bien même rien n’avait encore été décidé. La consultation du site internet de l’ancien employeur (https://[...].com/) confirme au demeurant les ambitions de la société d’étendre ses activités dans plusieurs pays du monde, ce qui valide les déclarations de l’assurée quant à ses perspectives professionnelles. A cela s’ajoute que la mention du taux d’activité de 70 % dans le formulaire 531bis est référencée à la seule nécessité financière et non à l’éducation des enfants. Dans sa demande de prestations, la recourante a indiqué avoir travaillé à 100 % avant 2004, puis à 80 % entre 2004 et 2013 et elle a même fait mention d’une activité à plein temps de février 2011 à mai 2012 (cf. rapport d’expertise F.________ SA, p. 11), ce qui tend à tout le moins à démontrer que ses tâches éducatives et ménagères n’empêchaient pas l’exercice d’activités professionnelles à des taux supérieurs à 70 %. Dans un tel contexte, doivent être tenues pour vraisemblables les déclarations de la recourante quant à l’augmentation de son taux d’activité à 100 % dès janvier 2015, d’autant que la survenance de la maladie peut expliquer l’absence de contrat concrétisant l’accord mentionné dans l’attestation de l’ex-employeur du 15 mars 2022, qui ne saurait en l’état être qualifiée de complaisante. c) En bonne santé, la recourante aurait ainsi consacré 100 % de son temps à l’exercice d’une activité lucrative depuis janvier 2015. Il convient par conséquent d’admettre un statut de 100 % active, et partant d’appliquer la méthode générale de comparaison des revenus.</w:t>
      </w:r>
    </w:p>
    <w:p>
      <w:r>
        <w:t>- 17 -</w:t>
      </w:r>
    </w:p>
    <w:p>
      <w:r>
        <w:rPr>
          <w:b/>
        </w:rPr>
        <w:t>E. 6</w:t>
      </w:r>
    </w:p>
    <w:p>
      <w:r>
        <w:t>a) En lien avec l’appréciation de sa capacité de travail résiduelle dans une activité adaptée à son état de santé, la recourante a critiqué l’expertise de F.________ SA en déplorant en particulier l’absence d’évaluation de la dépendance aux opiacés, respectivement les limitations fonctionnelles qu’entraîne leur consommation. b) En l’espèce, il convient de constater qu’aucun des médecins traitants n’a diagnostiqué des troubles mentaux ou du comportement liés à l'utilisation d'opiacés selon la CIM-10 [Classification internationale des maladies, 10e révision de l’Organisation mondiale de la santé]) ou un autre système de classification, et le Dr I.____________, en sa qualité d’expert psychiatre l’a exclu (cf. rapport d’expertise, p. 36). La recourante se prévaut en l’espèce de l’observation du Dr Q.________, selon laquelle le traitement prescrit entraînait une dépendance justifiant l’arrêt de l’Oxynorm® (cf. expertise, pp. 47 – 48). L’observation de cet expert ne saurait autoriser le constat d’un diagnostic psychiatrique, d’autant qu’il ne relève pas de son domaine de compétence qu’est la rhumatologie et que de son côté, la Dre X.________ renvoie sur cette question auprès de son co- expert psychiatre (cf. expertise p. 30). Quand bien même aucun diagnostic psychiatrique n’est posé en la matière, l’impact de la prescription d’opiacés sur l’état de santé de la recourante a été pris en compte par les experts de F.________ SA, contrairement aux griefs exposés par la recourante dans sa première écriture. En particulier, l’expert en médecine interne précise que la chimiothérapie peut entraîner dans certains cas des effets secondaires à type de fatigue, même à distance du traitement, et qu’il peut aussi y avoir une dysfonction cognitive au long cours, correspondant aux troubles de concentration, de mémoire et à l’incapacité de faire plusieurs choses à la fois. Il retient en conséquence une probable influence des traitements antalgiques, en particulier des opiacés sur les capacités cognitives et intellectuelles, avec une somnolence et une asthénie (rapport d’expertise, p. 16ss). L’expert en neurologie expose lui aussi que la prise d’opiacés peut être responsable d’effets secondaires importants, limitant les capacités d’attention et de mémorisation (rapport d’expertise. 29). Les</w:t>
      </w:r>
    </w:p>
    <w:p>
      <w:r>
        <w:t>- 18 - experts ont préconisé la diminution de la dose d’Oxynorm®, qui est un analgésique opioïde, ainsi que des antalgiques pour en limiter les effets iatrogènes (rapport d’expertise, p. 7) tout en observant cependant dans leur rapport d’expertise complémentaire qu’une amélioration de la capacité de travail serait peu probable ensuite de l’adaptation du traitement analgésique. Ainsi, l’expertise ne s’avère pas lacunaire s’agissant des effets de la prescription d’opiacés et des conséquences d’un sevrage. L’expertise de F.________ SA a également valeur probante pour ce qui concerne l’appréciation de la capacité de travail de la recourante, en particulier depuis le 1er septembre 2016. En effet, l’allégation par la recourante d’une totale incapacité de travail en toute activité au-delà du 1er septembre 2016 n’est pas étayée par des examens cliniques objectifs et détaillés de ses médecins traitants. En l’occurrence, parmi les médecins consultés, seul le Dr A._________ s’est prononcé sur la capacité de travail, pour retenir une incapacité de travail de 100 % dès décembre 2014 (rapport du 2 février 2016), pour ensuite indiquer que la neuropathie empêchait toute activité professionnelle adaptée, outre de probables troubles dépressifs (rapport du 21 novembre 2016) et en dernier lieu qu’il était difficile de se prononcer sur l’évolution et l’impact de la polyneuropathie sur la santé et la capacité de travail de sa patiente et qu’il la voyait difficilement reprendre son activité professionnelle (rapport du 19 novembre 2018). L’aveu de cette difficulté de même que l’évocation de troubles psychiques ne font que confirmer que l’appréciation de la capacité de travail par les experts de F.________ SA doit être privilégiée de par sa pluridisciplinarité. Quant au Dr R.________, il considère sa patiente hors d’état de travailler, sans autre explication qu’une énumération de divers symptômes et limitations fonctionnelles (rapport du 30 janvier 2017). Enfin, le Dr H.________ n’atteste d’une incapacité de travail que dans la profession habituelle, ce qui n’est pas contesté (lettre du 17 juillet 2018). S’agissant des limitations fonctionnelles retenues par les experts et précisées par le SMR dans son avis du 6 mai 2020, elles ne différent que très peu de celles</w:t>
      </w:r>
    </w:p>
    <w:p>
      <w:r>
        <w:t>- 19 - énoncées par le psychiatre traitant. En effet, le Dr R.________ retient notamment une fatigue et une fatigabilité, des troubles de l’attention et de la concentration, une hyperémotivité, une hypersensibilité au stress (rapport du 30 janvier 2017). Quant aux Drs H.________ et A._________, ils ne se prononcent pas sur les limitations fonctionnelles. c) Sur la base de l’expertise de F.________ SA, il convient de constater que si la recourante présente une incapacité de travail totale en toute activité depuis la découverte de son cancer fin 2014 jusqu’au 31 août 2016, la capacité de travail résiduelle de l’assurée est de 40 % dès le 1er septembre 2016 dans une activité adaptée aux limitations fonctionnelles, telles que retenues par les experts et par le SMR dans son avis du 6 mai 2020.</w:t>
      </w:r>
    </w:p>
    <w:p>
      <w:r>
        <w:rPr>
          <w:b/>
        </w:rPr>
        <w:t>E. 7</w:t>
      </w:r>
    </w:p>
    <w:p>
      <w:r>
        <w:t>Cela étant constaté, il s’agit de déterminer le degré d’invalidité de la recourante.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octore 2011 consid. 4.1 ; MARGIT MOSER-SZELESS, in DUPONT/MOSER-SZELESS [édit.], Loi sur la partie</w:t>
      </w:r>
    </w:p>
    <w:p>
      <w:r>
        <w:t>- 20 - générale des assurances sociales, Commentaire romand, Bâle 2018, n° 18 ad art. 16 LPGA). b) aa)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Lorsque les tables ESS sont appliquées, il convient de se fonder, en règle générale, sur les salaires mensuels indiqués dans la table TA1, à la ligne "total secteur privé" ; on se réfère alors à la statistique des salaires bruts standardisés, en se fondant toujours sur la valeur médiane ou centrale (ATF 124 V 321 consid. 3b), étant précisé que, depuis l'ESS 2012, il y a lieu d'appliquer le tableau TA1_skill_level et non pas le tableau TA1_b (ATF 142 V 178 ; TF 8C_46/2018 du 11 janvier 2019 consid. 4.4).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Depuis 2012, les emplois sont classés par l’OFS par profession en fonction du type de travail qui est généralement effectué. Les critères de base utilisés pour définir le système des différents groupes de profession sont les niveaux et la spécialisation des compétences requis</w:t>
      </w:r>
    </w:p>
    <w:p>
      <w:r>
        <w:t>- 21 - pour effectuer les tâches inhérentes à la profession (TF 8C_46/2018 du 11 janvier 2019 consid. 4.4).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L'accent est donc mis sur le type de tâches que l'assuré est susceptible d'assumer en fonction de ses qualifications mais pas sur les qualifications en elles-mêmes (TF 8C_46/2018 du 11 janvier 2019 consid. 4.4 ; TF 9C_901/2017 du 28 mai 2018 consid. 3.3).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t>- 22 - c) aa) En l’occurrence, le droit à la rente prend naissance le 1er février 2016 de telle sorte qu’il convient de déterminer les revenus avec et sans invalidité à l’aune des circonstances prévalant en 2016. bb) Le revenu sans invalidité qui doit être pris en compte est le montant de salaire annuel brut de 160'000 fr. pour un 100 % (rapport de l’employeur du 18 décembre 2017 et attestation du 15 mars 2022). Indexé à 2016 (+ 0,8 % [Evolution des salaires nominaux, des prix à la consommation et des salaires réels, 2010 – 2020]), il en résulte un revenu sans invalidité de 161'280 francs. cc) Contrairement à ce que soutient la recourante, en lien avec le calcul du revenu d’invalide le choix de l’OAI de la catégorie 69-71 n’est pas critiquable. En la matière, il convient de renvoyer à la lecture des notes explicatives concernant la nomenclature générale des activités économiques édictées par l’OFS, en particulier les rubriques 69 (activités juridiques et comptables) et 70 (activités des sièges sociaux ; conseil de gestion) afin de se rendre compte qu’un bon nombre des activités professionnelles listées permettent de concilier les compétences professionnelles de la recourante avec les limitations fonctionnelles retenues par les experts et le SMR. Cela vaut d’autant plus que le niveau de compétence 1 implique l’exécution de tâches simples et répétitives, sans le stress et les exigences inhérents aux postes à responsabilité. Selon l’ESS 2016, le salaire que pourrait toucher une femme pour des activités simples et répétitives dans le domaine d’activité précité était de 62’250 francs (5'000 fr. x 12 en relation avec une semaine de travail hebdomadaire de 41,5 heures). Cet horaire hebdomadaire correspond à celui prévalant dans les entreprises des branches économiques 69-71 en 2016 de telle sorte que contrairement à ce que soutient la recourante, il ne saurait être retenu l’horaire hebdomadaire de 40 heures tel que pratiqué chez son ancien employeur. Les limitations fonctionnelles sont déjà prises en compte dans l’appréciation de la capacité de travail résiduelle. Elles ne peuvent dès lors justifier un abattement et aucun autre facteur de réduction ne saurait être retenu.</w:t>
      </w:r>
    </w:p>
    <w:p>
      <w:r>
        <w:t>- 23 - d) Sur le vu de ce qui précède, pour la période du 1er février 2016 au 30 novembre 2016, l’incapacité de travail totale de la recourante en toute activité débouche sur un degré d’invalidité de 100 %. Dès le 1er décembre 2016, sa capacité de travail dans une activité adaptée aux limitations fonctionnelles est de 40 %. La perte de gain s’élève à 136'380 fr. (161'280 fr. – 24’900 fr. [40 % de 62'250 fr.]) et le degré d’invalidité à 84,56 % ([{161'280 fr. – 24’900 fr.} / 161'280 fr.] x 100), arrondi à 85 % (cf. ATF 130 V 121). En présence de taux d’invalidité demeurant supérieur à 70 %, le droit à une rente entière d’invalidité est ouvert en faveur de la recourante depuis le 1er février 2016, sans modification (cf. art. 29 al. 1 et 3 LAI).</w:t>
      </w:r>
    </w:p>
    <w:p>
      <w:r>
        <w:rPr>
          <w:b/>
        </w:rPr>
        <w:t>E. 8</w:t>
      </w:r>
    </w:p>
    <w:p>
      <w:r>
        <w:t>a) En définitive bien-fondé, le recours doit être admis et la décision attaquée réformée en ce sens que W.________ a droit à une rente entière d’invalidité à partir du 1er février 2016. b) La procédure de recours en matière de contestations portant sur l’octroi ou le refus de prestations de l’assurance-invalidité est soumise à des frais de justice (art. 69 al. 1bis LAI). Il convient de les fixer à 600 fr. et de les mettre à la charge de l’office intimé, vu l’issue du litige. c) Obtenant gain de cause avec l’assistance d’un mandataire qualifié, la recourante a droit à une indemnité de dépens à titre de participation aux honoraires de son conseil (art. 61 let. g LPGA), qu’il convient d’arrêter à 2’500 fr., débours et TVA compris, vu la nature et la complexité de la procédure, avec expertise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