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ZD21.044704 vom 11. Mai 2023</w:t>
      </w:r>
    </w:p>
    <w:p>
      <w:r>
        <w:t>VD Tribunal cantonal, 2023-05-11, FR</w:t>
      </w:r>
    </w:p>
    <w:p>
      <w:r>
        <w:rPr>
          <w:b/>
        </w:rPr>
        <w:t xml:space="preserve">Quelle: </w:t>
      </w:r>
      <w:r>
        <w:t>https://mcp.opencaselaw.ch/entscheid/vd_gerichte_ZD21.044704</w:t>
      </w:r>
    </w:p>
    <w:p>
      <w:r>
        <w:t>FR: VD_GERICHTE ZD21.044704 du 11 mai 2023</w:t>
      </w:r>
    </w:p>
    <w:p>
      <w:r>
        <w:t>IT: VD_GERICHTE ZD21.044704 del 11 maggio 2023</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21 octobre 2021 contre la décision de l’intimé du 15 septembre 2021 a été interjeté en temps utile. Il respecte les conditions de forme prévues par la loi, au sens notamment de l’art. 61 let. b LPGA, de sorte qu’il est recevable.</w:t>
      </w:r>
    </w:p>
    <w:p>
      <w:r>
        <w:rPr>
          <w:b/>
        </w:rPr>
        <w:t>E. 2</w:t>
      </w:r>
    </w:p>
    <w:p>
      <w:r>
        <w:t>Le litige porte sur le droit de la recourante à des prestations de l’assurance-invalidité, singulièrement à une rente et à des mesures professionnelles.</w:t>
      </w:r>
    </w:p>
    <w:p>
      <w:r>
        <w:t>- 27 -</w:t>
      </w:r>
    </w:p>
    <w:p>
      <w:r>
        <w:rPr>
          <w:b/>
        </w:rPr>
        <w:t>E. 3</w:t>
      </w:r>
    </w:p>
    <w:p>
      <w:r>
        <w:t>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rendue le 15 septembre 2021 (ATF 144 V 210 consid. 4.3.1 ; 138 V 176 consid. 7.1 ; TF 9C_881/2018 du 6 mars 2019 consid. 4.1).</w:t>
      </w:r>
    </w:p>
    <w:p>
      <w:r>
        <w:rPr>
          <w:b/>
        </w:rPr>
        <w:t>E. 4</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4.1</w:t>
      </w:r>
    </w:p>
    <w:p>
      <w:r>
        <w:t>;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En l’espèce, il convient, à l’instar de l’intimé, de déterminer le revenu sans invalidité au moyen de l’ESS dans la mesure où la recourante a cessé toute activité lucrative dès septembre 2013 et a vu son contrat de travail résilié par son employeur en 2014. Il y a lieu de tenir compte de l’évolution des salaires jusqu’à l’année d’ouverture théorique du droit à la rente, à savoir 2021, étant rappelé que les experts du T.________SA ont retenu une capacité de travail partielle uniquement à partir de mai 2020. c) L’intimé s’est fondé sur le montant total, tous secteurs d’activités confondus (production et services), du TA1 tirage_skill_level de l’ESS 2018, mettant en évidence un salaire de 4'371 fr. par mois, part au treizième salaire comprise, réalisable par une femme exerçant une activité ne nécessitant pas de compétence ou de formation particulière (niveau de</w:t>
      </w:r>
    </w:p>
    <w:p>
      <w:r>
        <w:t>- 41 - compétence 1). Ce montant doit être porté à 4’556 fr. 77 compte tenu de la durée hebdomadaire de travail de 41,7 heures dans les entreprises en 2021 (cf. Indicateurs du marché du travail 2021 ; TA2.1). Après indexation de 1 % en 2019, de 0,9 % en 2020 et 0,6 % en 2021, selon l’Indice suisse des salaires nominaux (ISS ; tableau T39 « Evolution des salaires nominaux, des prix à la consommation et des salaires réels 2010-2021 »), on aboutit à un revenu annuel de 56'059 fr. pour une activité exercée à 100%. d) On relève qu’au vu du parcours professionnel de la recourante, laquelle n’a jamais exercé d’activité du secteur de la production, il aurait été envisageable de prendre en considération le salaire ressortant au secteur des services (lignes 45-96) du TA1 tirage_skill_level de l’ESS 2018, à savoir un salaire mensuel de 4'293 fr., part au treizième salaire comprise, réalisable par une femme sans qualifications particulières (niveau de compétence 1). Ce montant devrait être porté à 4'475 fr. 45 compte tenu de la durée hebdomadaire de travail de 41,7 heures dans les entreprises en 2021 (cf. Indicateurs du marché du travail 2021 ; TA2.1). Après indexation de 1 % en 2019, de 0,9 % en 2020 et 0,6 % en 2021, ressortant de l’ISS (tableau T39 « Evolution des salaires nominaux, des prix à la consommation et des salaires réels 2010-2021 »), on aboutirait à un revenu annuel de 55'059 fr. pour une activité exercée à 100%.</w:t>
      </w:r>
    </w:p>
    <w:p>
      <w:r>
        <w:rPr>
          <w:b/>
        </w:rPr>
        <w:t>E. 5</w:t>
      </w:r>
    </w:p>
    <w:p>
      <w:r>
        <w:t>a) Lorsque la rente ou l'allocation pour impotent a été refusée parce que le degré d'invalidité était insuffisant ou parce qu'il n'y avait pas d'impotence, la nouvelle demande ne peut être examinée que si l'assuré</w:t>
      </w:r>
    </w:p>
    <w:p>
      <w:r>
        <w:t>- 28 -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(art. 17 al. 1 LPGA dans sa teneur en vigueur au 31 décembre 2021).</w:t>
      </w:r>
    </w:p>
    <w:p>
      <w:r>
        <w:rPr>
          <w:b/>
        </w:rPr>
        <w:t>E. 6</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Conformément à l’art. 28 al. 2 LAI (dans sa teneur en vigueur au 31 décembre 2021), un taux d’invalidité de 40 % donne droit à un quart de rente, un taux d’invalidité de 50 % au moins donne droit à une</w:t>
      </w:r>
    </w:p>
    <w:p>
      <w:r>
        <w:t>- 29 - demi-rente, un taux d’invalidité de 60 % au moins donne droit à trois- quarts de rente et un taux d’invalidité de 70 % au moins donne droit à une rente entière.</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l’art. 61 let. c LPGA, le tribunal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w:t>
      </w:r>
    </w:p>
    <w:p>
      <w:r>
        <w:t>- 30 -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w:t>
      </w:r>
    </w:p>
    <w:p>
      <w:r>
        <w:t>- 31 -</w:t>
      </w:r>
    </w:p>
    <w:p>
      <w:r>
        <w:rPr>
          <w:b/>
        </w:rPr>
        <w:t>E. 8</w:t>
      </w:r>
    </w:p>
    <w:p>
      <w:r>
        <w:t>a) Il convient, à titre préliminaire, de se prononcer sur l’opportunité d’une mesure d’instruction complémentaire sur le plan médical, singulièrement d’une expertise judiciaire pluridisciplinaire (des registres psychiatrique, rhumatologique et de médecine interne), que la recourante revendique aux termes de son écriture de recours. Elle estime en effet que son cas aurait été tranché prématurément, sans que l’intimé n’ait pris en compte l’aggravation de son état de santé somatique, ni les répercussions d’un trouble somatoforme douloureux. b) La requête de la recourante peut d’emblée être écartée par appréciation anticipée des preuves. On rappelle que celle-ci a d’ores et déjà fait l’objet de plusieurs expertises au cours de l’instruction de sa demande de prestations, lesquelles fournissent un tableau extrêmement complet de son état de santé et de son évolution jusqu’à la date de la décision litigieuse. La recourante a été examinée par le Dr K.________, lequel a fait part de ses conclusions sur le plan orthopédique le 23 janvier 2015. Elle a également fait l’objet d’une investigation psychiatrique par le Prof. P.________, synthétisée dans le rapport du 19 octobre 2017. Ultérieurement, l’intimé a mis en œuvre une expertise pluridisciplinaire des registres pertinents auprès du T.________SA. Au demeurant, la recourante a régulièrement fait parvenir à l’intimé les rapports émis par les différents spécialistes consultés, de sorte que l’on dispose de pièces étayées, exhaustives et actualisées sur les différentes atteintes à la santé dont souffre la recourante et leurs conséquences. On ne voit ainsi pas en quoi une nouvelle expertise pluridisciplinaire permettrait d’apporter un éclairage nouveau de sa situation. On ajoutera que les nouveaux médecins traitants de la recourante, plus particulièrement les Drs O.________ et G.________, ont également fait part de leurs appréciations respectives, produites auprès de la Cour de céans, laquelle est en mesure de statuer sur l’aspect médical du dossier de la recourante (cf. infra dès consid. 9).</w:t>
      </w:r>
    </w:p>
    <w:p>
      <w:r>
        <w:rPr>
          <w:b/>
        </w:rPr>
        <w:t>E. 9</w:t>
      </w:r>
    </w:p>
    <w:p>
      <w:r>
        <w:t>a) Il s’agit à ce stade de se prononcer sur la capacité de travail de la recourante, cette dernière reprochant à l’intimé de s’être basé exclusivement sur les conclusions du rapport d’expertise du T.________SA,</w:t>
      </w:r>
    </w:p>
    <w:p>
      <w:r>
        <w:t>- 32 - alors que ce document serait entaché, selon ses médecins, d’incohérences et ne tiendrait pas compte de l’impact concret de ses nombreuses pathologies. b) On peut en l’occurrence considérer, à l’instar de l’intimé, que le rapport d’expertise du T.________SA est exhaustif et que les experts se sont déterminés en pleine connaissance de cause sur l’ensemble des problématiques évoquées dans le cas de la recourante. Quoi qu’en dise cette dernière, les experts ont pris en compte l’évolution de son état de santé, singulièrement l’aggravation observée dès l’IRM du 25 mai 2020, ainsi que l’éventuelle indication opératoire avancée par le Dr M.________. Contrairement à ce que prétend d’ailleurs ce spécialiste, on ne saurait retenir des « incongruences » dans la mesure où les spécialistes du T.________SA ont justifié leurs points de vue respectifs, en fonction des différents constats cliniques ressortant à leurs champs de compétence. Leurs conclusions sont au demeurant dûment motivées et apparaissent en accord avec les précédentes appréciations expertales, de sorte qu’on ne voit aucune raison objective de s’en écarter.</w:t>
      </w:r>
    </w:p>
    <w:p>
      <w:r>
        <w:rPr>
          <w:b/>
        </w:rPr>
        <w:t>E. 10</w:t>
      </w:r>
    </w:p>
    <w:p>
      <w:r>
        <w:t>a) Sur le plan somatique, singulièrement rhumatologique, on observe que le Dr X.________ a mis en évidence les diagnostics incapacitants de lombosciatalgie gauche sur discopathie et protrusion discale L5-S1 et de douleur du poignet droit après fracture, sous suite de limitations fonctionnelles destinées à épargner le rachis et le poignet. Ce spécialiste s’est par ailleurs étonné de l’importance des douleurs alléguées au vu de la pauvreté des constats cliniques objectifs. Il a dès lors conclu à une capacité de travail pour l’essentiel préservée. Son appréciation s’avère ainsi superposable à celle effectuée en son temps par le Dr K.________, lequel considérait également que la recourante était dotée d’une capacité de travail entière dans une activité ménageant le rachis, en présence de signes de non-organicité (cf. rapport du 23 janvier 2015, p. 34). Cela étant, le Dr X.________ a dûment pris en compte l’aggravation observée à l’IRM du 25 mai 2020, dans le cadre de la consultation du Dr M.________. Il s’est par ailleurs prononcé en défaveur d’une intervention chirurgicale, en justifiant son point de vue et en proposant des traitements</w:t>
      </w:r>
    </w:p>
    <w:p>
      <w:r>
        <w:t>- 33 - alternatifs de la symptomatologie présentée par la recourante (infiltrations et port d’un corset). b) On ne voit pas que les documents médicaux produits par la recourante postérieurement à l’examen rhumatologique conduit au T.________SA soient susceptibles de remettre en question l’appréciation du Dr X.________. En particulier, les observations du Dr M.________ du 16 avril 2021 apparaissent insuffisantes à cet égard. On note en effet que ce spécialiste s’est partiellement exprimé sur les plans de la médecine interne et de la psychiatrie, hors de son champ de compétences. Quant aux critiques relatives à l’appréciation de la capacité de travail et de la plausibilité des douleurs alléguées, on rappellera, contrairement à ce qu’indique le Dr M.________, que tant le Dr K.________ que le Dr X.________ se sont interrogés sur l’intensité des douleurs en présence de constats objectifs relativement pauvres et ont tous deux conclu à l’exigibilité de l’exercice d’une activité lucrative ménageant le rachis. Eu égard à l’indication opératoire, invoquée par le Dr M.________, ce spécialiste a finalement signalé que celle-ci n’avait pas été retenue (cf. réponses du 14 juin 2021 du Dr M.________ au SMR). Cette indication a certes été à nouveau préconisée par la Dre O.________ le 3 mai 2021, sans toutefois que la recourante n’ait, en l’état, donné suite à cette suggestion. La Dre O.________ a en effet expressément indiqué être sans nouvelles de la recourante aux termes de ses rapports des 8 juillet et 25 octobre 2021. Quant au rapport du Dr Y.________ du 29 mai 2021, ce praticien paraît rejoindre l’avis exprimé par le Dr X.________, en envisageant un geste infiltratif avant toute intervention chirurgicale. c) On ajoutera enfin que le rapport d’IRM cervicale du 15 février 2023 ne saurait être pris en considération à ce stade, puisque ce document reflète une situation largement postérieure à la date de la décision litigieuse. d) En définitive, il convient de retenir l’évaluation rhumatologique communiquée par le Dr X.________ pour le compte du</w:t>
      </w:r>
    </w:p>
    <w:p>
      <w:r>
        <w:t>- 34 - T.________SA, selon laquelle la recourante est dotée d’une pleine capacité de travail dans toutes activités jusqu’au 25 mai 2020, puis d’une capacité de 80 %, compte tenu d’une baisse de rendement de 20 %, dans toutes activités respectant les limitations fonctionnelles d’ordre rhumatologique.</w:t>
      </w:r>
    </w:p>
    <w:p>
      <w:r>
        <w:rPr>
          <w:b/>
        </w:rPr>
        <w:t>E. 11</w:t>
      </w:r>
    </w:p>
    <w:p>
      <w:r>
        <w:t>a) Le volet de médecine interne, investigué par le Dr V.________ au sein du T.________SA, ne prête pas davantage flanc à la critique. On observe que ce spécialiste a examiné l’ensemble des pathologies affectant ou ayant affecté la recourante, se concentrant sur les affections actuelles, à savoir la diplopie monoculaire, les migraines ophtalmiques et les dysuries nocturnes documentées au dossier. Son appréciation apparaît cohérente eu égard aux rapports médicaux à disposition, en particulier ceux établis au sein de l’Hôpital Q.________, lesquels n’ont mis en évidence aucune atteinte spécifique de ce registre. On ajoutera que la suggestion du Dr V.________ de diminuer progressivement le traitement opiacé dans le but de réduire la diplopie apparaît adéquat en l’absence de toute pathologie oculaire avérée. En outre, l’évaluation de l’impact des dysuries, survenant uniquement durant la nuit, n’est contredite par aucun élément au dossier de la recourante. b) La recourante a mentionné subséquemment une cholélithiase symptomatique (cf. rapport du Dr R.________ du 17 septembre 2020) et une lithiase rénale (cf. rapport du Dr G.________ du 3 février 2022), pour lesquelles des interventions chirurgicales avaient été nécessaires. Ces affections, somme toutes banales, n’ont a priori nécessité que de courtes hospitalisations, tandis qu’aucune pièce au dossier ne vient documenter des complications ou des répercussions fonctionnelles significatives qui en auraient découlé. Dès lors, ces problématiques ne sauraient justifier de s’écarter de l’évaluation de médecine interne communiquée par le T.________SA.</w:t>
      </w:r>
    </w:p>
    <w:p>
      <w:r>
        <w:rPr>
          <w:b/>
        </w:rPr>
        <w:t>E. 12</w:t>
      </w:r>
    </w:p>
    <w:p>
      <w:r>
        <w:t>a) L’aspect psychiatrique du cas de la recourante a fait l’objet de l’analyse du Dr W.________ pour le compte du T.________SA, lequel a exclu toute pathologie de sa sphère de compétences, y inclus un éventuel trouble somatoforme douloureux, en présence de diagnostics somatiques</w:t>
      </w:r>
    </w:p>
    <w:p>
      <w:r>
        <w:t>- 35 - avérés. Ce spécialiste a conclu à une capacité de travail préservée « depuis toujours » sur le plan psychiatrique, relevant l’absence de tout suivi spécialisé de la recourante. Quoi qu’en dise cette dernière, cette appréciation n’est pas sensiblement différente de celle communiquée en son temps par le Prof. P.________. Ce dernier avait certes conclu à un syndrome somatoforme douloureux depuis l’année 2000, mais néanmoins à une capacité de travail de 100 % « dans une activité correspondant aux aptitudes de l’assurée ». Il préconisait au surplus une réadaptation professionnelle « dans un milieu bienveillant dans un des domaines de sa prédilection ». Ses explications ne permettaient toutefois pas de justifier une capacité de travail nulle dans l’activité habituelle de secrétaire, faute de toute décompensation dépressive observée, alors que la recourante conservait « une capacité à tisser des liens et à avoir une vie sociale » (cf. rapport d’expertise du Prof. P.________ du 19 octobre 2017, p. 13). b) En l’état, il convient néanmoins de déterminer si l’appréciation communiquée par le Dr G.________ les 3 février et 13 avril 2022 est de nature à faire douter de l’évaluation des experts psychiatres, singulièrement de la capacité de travail attribuée à la recourante.</w:t>
      </w:r>
    </w:p>
    <w:p>
      <w:r>
        <w:rPr>
          <w:b/>
        </w:rPr>
        <w:t>E. 13</w:t>
      </w:r>
    </w:p>
    <w:p>
      <w:r>
        <w:t>a)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ainsi qu’aux syndromes de dépendance (ATF 145 V 215 consid. 5 et 6.2).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t>- 36 - b) La preuve d’un trouble somatoforme douloureux, d’une affection psychosomatique assimilée, d’un trouble psychique ou d’une dépendance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w:t>
      </w:r>
    </w:p>
    <w:p>
      <w:r>
        <w:t>- 37 -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w:t>
      </w:r>
    </w:p>
    <w:p>
      <w:r>
        <w:rPr>
          <w:b/>
        </w:rPr>
        <w:t>E. 14</w:t>
      </w:r>
    </w:p>
    <w:p>
      <w:r>
        <w:t>a) En l’espèce, les différents spécialistes en psychiatrie divergent sur le plan diagnostique. Le Dr W.________ a exclu toute pathologie de ce registre, alors que le Prof. P.________ estimait que la recourante présentait un syndrome somatoforme douloureux. Le Dr G.________, de son côté, considère que sa patiente présente une accentuation de traits de personnalité (anxieux, dysthymiques et somatoformes) et des troubles mentaux et du comportement liés à la</w:t>
      </w:r>
    </w:p>
    <w:p>
      <w:r>
        <w:t>- 38 - consommation d’opiacés sous surveillance médicale. Selon lui, la capacité de travail serait durablement nulle depuis 2013. b) S’agissant du trouble somatoforme douloureux, on peut d’emblée observer que si ce diagnostic devait être retenu, il ne revêtirait en aucun cas un degré de gravité suffisant pour être considéré comme invalidant au regard de la jurisprudence fédérale mentionnée supra (cf. consid. 13). On observe en effet tout d’abord qu’une comorbidité psychique a été niée tant par le Dr W.________ que par le Prof. P.________. En outre, la recourante n’apparaît pas affectée dans la même mesure dans tous les domaines de la vie. On relève que celle-ci est dotée de ressources substantielles, notamment en présence d’un entourage soutenant (famille et compagnon) et d’un réseau social préservé. La recourante est également en mesure de réaliser différentes activités quotidiennes (nombreux gestes de la vie courante, marche et déplacements), tout en prenant soin d’elle-même. Elle a été considérée comme capable de s’adapter à une routine, de planifier et structurer ses journées, ainsi que de créer et de maintenir des liens sociaux. Elle est également en mesure de se déplacer librement au moyen de son véhicule (cf. rapport d’expertise du T.________SA du 24 juillet 2020, p. 4 ; rapport d’expertise du Prof. P.________ du 19 octobre 2017, p. 13). On ne voit dès lors pas qu’un éventuel trouble somatoforme douloureux réponde aux critères requis par le Tribunal fédéral, de sorte qu’il convient de nier tout impact d’une telle affection en termes de capacité de travail. Il en va de même d’une éventuelle accentuation de traits de personnalité, laquelle ne constitue d’ailleurs pas un trouble de la personnalité au sens strict, faute de répercussions significatives sur les ressources objectivées auprès de la recourante. c) Eu égard à des troubles mentaux et du comportement liés à la consommation d’opiacés, on relève que ce diagnostic est évoqué pour la première fois par le Dr G.________, à compter de sa prise en charge (au demeurant postérieure à la date de la décision litigieuse). En l’état, il s’agit toutefois d’écarter une telle pathologie, que le Dr G.________ ne motive que par des considérations d’ordre général sur les conséquences</w:t>
      </w:r>
    </w:p>
    <w:p>
      <w:r>
        <w:t>- 39 - de la prise d’opiacés, alors qu’aucun des spécialistes ayant examiné la recourante n’a mentionné cette problématique. On observe en effet que ni le Prof. P.________, ni le Dr W.________, ni le Centre de psychiatrie [...] (où la recourante a été brièvement suivie durant l’été 2015) n’évoquent un trouble mental consécutif à la prise de morphine. Cet aspect n’a au surplus jamais été soulevé par les somaticiens ayant assumé la prise en charge de la recourante. On peut donc s’en tenir aux appréciations expertales à la date de la décision querellée, étant souligné que si l’état de santé psychique de la recourante devait faire l’objet d’une dégradation significative et durable, il lui appartiendrait de requérir une révision de sa situation auprès de l’intimé. On ajoutera que si une telle dégradation devait être avérée à compter de la prise en charge du Dr G.________, elle constituerait de toute façon une nouvelle atteinte à la santé, partant un nouveau cas d’assurance, pour lequel un délai de carence d’une année devrait être pris en considération (cf. art. 28 al. 1 let. b LAI). d) Etant donné les éléments qui précèdent, il convient de retenir, à la date de la décision litigieuse, que la recourante est dotée d’une pleine capacité de travail sur le plan psychiatrique, selon les considérations du T.________SA. e) Il s’agit en définitive de s’en tenir à l’évaluation consensuelle communiquée par ledit centre, selon laquelle la recourante a conservé une capacité de travail entière dans toutes activités jusqu’au 25 mai 2020, puis une capacité de travail de 80 % en raison des restrictions fonctionnelles d’ordre rhumatologique.</w:t>
      </w:r>
    </w:p>
    <w:p>
      <w:r>
        <w:rPr>
          <w:b/>
        </w:rPr>
        <w:t>E. 15</w:t>
      </w:r>
    </w:p>
    <w:p>
      <w:r>
        <w:t>a) Il y a lieu à ce stade de se prononcer sur l’aspect économique du cas de la recourante, à savoir sur l’évaluation de son degré d’invalidité, étant souligné qu’il n’est pas contesté qu’elle revêt désormais un statut de personne active à plein temps. b) En vertu de l’art. 28a al. 1 LAI (dans sa teneur en vigueur au 31 décembre 2021), l’art. 16 LPGA s’applique à l’évaluation de l’invalidité des assurés exerçant une activité lucrative. Selon cette</w:t>
      </w:r>
    </w:p>
    <w:p>
      <w:r>
        <w:t>- 40 -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w:t>
      </w:r>
    </w:p>
    <w:p>
      <w:r>
        <w:rPr>
          <w:b/>
        </w:rPr>
        <w:t>E. 16</w:t>
      </w:r>
    </w:p>
    <w:p>
      <w:r>
        <w:t>a) Le revenu sans invalidité doit être déterminé en établissant au degré de la vraisemblance prépondérante ce que l’assuré aurait effectivement pu réaliser s’il était en bonne santé (ATF 134 V 322 consid.</w:t>
      </w:r>
    </w:p>
    <w:p>
      <w:r>
        <w:rPr>
          <w:b/>
        </w:rPr>
        <w:t>E. 17</w:t>
      </w:r>
    </w:p>
    <w:p>
      <w:r>
        <w:t>a) En l’absence d’un revenu effectivement réalisé – c’est-à- dire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b) Cas échéant, il se justifie d’examiner l’opportunité d’une déduction supplémentaire. Il est en effet notoire que les personnes atteintes dans leur santé, qui présentent des limitations même pour accomplir des activités légères, sont désavantagées sur le plan de la</w:t>
      </w:r>
    </w:p>
    <w:p>
      <w:r>
        <w:t>- 42 -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 c) Dans le cas particulier, le recours au montant total, tous secteurs d’activités confondus (production et services), du TA1 tirage_skill_level de l’ESS 2018 n’apparaît à l’évidence pas critiquable, puisque la recourante est sans activité depuis 2013. Le salaire de référence pour des femmes exerçant des tâches physiques ou manuelles simples dans le secteur privé était, en 2018, de 4’371 fr. par mois, part au treizième salaire comprise (ESS 2018, tableau TA1_skill_level, niveau de compétence 1). Ce montant doit être porté à 4'556 fr. 77 pour prendre en considération la durée hebdomadaire du travail de 41,7 heures dans les entreprises en 2021 (cf. Indicateurs du marché du travail 2021 ; TA2.1). Après indexation de 1 % en 2019, de 0,9 % en 2020 et de 0,6 % en 2021 selon l’ISS (tableau T39 « Evolution des salaires nominaux, des prix à la consommation et des salaires réels 2010-2021 »), on aboutit à un revenu</w:t>
      </w:r>
    </w:p>
    <w:p>
      <w:r>
        <w:t>- 43 - de 56’059 fr. par an pour une activité exercée à 100 % et donc de 44’847 fr. pour un taux d’activité de 80 %. d) On peut suivre le raisonnement de l’intimé s’agissant de l’absence d’abattement effectué sur le revenu d’invalide. La recourante est en effet dotée d’une capacité de travail préservée en dépit d’une baisse de rendement de 20 %, laquelle tient compte adéquatement de ses limitations fonctionnelles. Par ailleurs, la recourante dispose de capacités d’adaptation et d’intégration, ne rencontre aucun problème linguistique et est suissesse.</w:t>
      </w:r>
    </w:p>
    <w:p>
      <w:r>
        <w:rPr>
          <w:b/>
        </w:rPr>
        <w:t>E. 18</w:t>
      </w:r>
    </w:p>
    <w:p>
      <w:r>
        <w:t>a) S’agissant du degré d’invalidité de la recourante, ce taux est nul jusqu’en mai 2020 puisqu’elle ne présentait aucune incapacité de travail reconnue, tant dans son activité habituelle que dans toute autre activité adaptée. b) A partir du mois de mai 2020, le degré d’invalidité de la recourante s’est élevé au maximum à 20 % ([56’059 – 44’847 x 100] / 56’059), ainsi que l’a retenu l’intimé. On ajoutera que ce degré aurait pu être fixé à 18,55 % ([55'059 – 44’847 x 100] / 55’059) en se fondant sur le secteur d’activités des services pour déterminer le revenu sans invalidité. c) Sur le vu de ce qui précède, l’intimé était légitimé à nier le droit à la rente de la recourante, son degré d’invalidité s’avérant largement inférieur au seuil de 40 % fixé par l’art. 28 al. 2 LAI (dans sa teneur en vigueur au 31 décembre 2021).</w:t>
      </w:r>
    </w:p>
    <w:p>
      <w:r>
        <w:rPr>
          <w:b/>
        </w:rPr>
        <w:t>E. 19</w:t>
      </w:r>
    </w:p>
    <w:p>
      <w:r>
        <w:t>a) Reste à se prononcer sur le droit de la recourante à des mesures d’ordre professionnel, singulièrement à un reclassement professionnel, dans la mesure où elle fait grief à l’intimé d’avoir d’emblée nié le droit à ces prestations. b) Les assurés invalides ou menacés d'une invalidité ont droit à des mesures de réadaptation pour autant que ces mesures soient</w:t>
      </w:r>
    </w:p>
    <w:p>
      <w:r>
        <w:t>- 44 - nécessaires et de nature à rétablir, maintenir ou améliorer leur capacité de gain ou leur capacité d’accomplir leurs travaux habituels et pour autant que les conditions d’octroi des différentes mesures soient remplies (art. 8 al. 1 LAI dans sa teneur en vigueur au 31 décembre 2021). Celles-ci comprennent en particulier des mesures d'ordre professionnel (orientation professionnelle, formation professionnelle initiale, reclassement, placement, aide en capital ; art. 8 al. 3, let. b, LAI ; cf. également art. 15 à 18d LAI). c) Pour déterminer si une mesure de réadaptation d'ordre professionnel est de nature à rétablir, maintenir ou améliorer la capacité de travail,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(TFA I 370/98 du 26 août 1999 consid. 2 et les références, in VSI 2002 p. 112). d)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e) En l’espèce, on peut se rallier à l’analyse opérée par l’intimé le 22 janvier 2021, en ce sens que la recourante ne présente pas les conditions subjectives et objectives requises pour se voir accorder une</w:t>
      </w:r>
    </w:p>
    <w:p>
      <w:r>
        <w:t>- 45 - mesure d’ordre professionnel, plus particulièrement un reclassement professionnel. On rappelle en effet que la recourante s’estime totalement incapable de travailler pour des raisons de santé, en dépit des conclusions communiquées par les experts mandatés par l’intimé. La mesure d’observation professionnelle diligentée du 29 janvier au 3 mars 2019 au sein du Centre E.________ s’est du reste soldée par l’impossibilité de définir une activité sur le marché ordinaire du travail, la recourante s’étant montrée limitée notamment par des facteurs psycho-comportementaux et environnementaux (cf. rapport du Centre E.________ du 18 mars 2019). Par ailleurs, la liste exemplative d’activités énoncée par l’intimé le 22 janvier 2021 (réception, scannage, back office, montage, contrôle ou surveillance d’un processus de production, ouvrière à l’établi ou dans le conditionnement léger) correspond au potentiel de la recourante et respecte ses limitations fonctionnelles. De telles activités lui sont accessibles sans formation particulière. On soulignera, au surplus, que la recourante n’est pas en possession d’une formation certifiée, de sorte qu’elle ne saurait de toute façon prétendre à des mesures destinées à lui fournir un niveau supérieur à l’activité antérieure (cf. notion de l’exigence de l’équivalence approximative avec l’activité antérieure : in Michel Valterio, Droit de l’assurance-vieillesse et survivants (AVS) et de l’assurance-invalidité (AI), Genève, Zurich, Bâle, 2011, p. 455 et 456, n. 1696 et 1697 et références jurisprudentielles citées).</w:t>
      </w:r>
    </w:p>
    <w:p>
      <w:r>
        <w:rPr>
          <w:b/>
        </w:rPr>
        <w:t>E. 20</w:t>
      </w:r>
    </w:p>
    <w:p>
      <w:r>
        <w:t>a) En conclusion, le recours, entièrement mal fondé, doit être rejeté et la décision de l’intimé du 15 septembre 2021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à la recourante qui succombe. Ils sont toutefois provisoirement laissés à la charge de l’Etat, puisqu’elle a été mise au bénéfice de l’assistance judiciaire par décision du 10 novembre 2021.</w:t>
      </w:r>
    </w:p>
    <w:p>
      <w:r>
        <w:t>- 46 - c) En outre, n’obtenant pas gain de cause, la recourante ne saurait prétendre des dépens (art. 55 al. 1 LPA-VD et art 61 let. g LPGA). d) Me Hichri a été désigné en qualité d’avocat d’office à compter du 21 octobre 2021 jusqu’au terme de la présente procédure (art. 118 al. 1, let. c, CPC [Code de procédure civile du 19 décembre 2008 ; RS 272], applicable par renvoi de l'art. 18 al. 5 LPA-VD). Par courrier du 6 février 2023, il s’est remis à justice s’agissant de la fixation de son indemnité. Compte tenu de la complexité de la cause, il y a lieu d’arrêter son intervention à 9 heures au tarif horaire de 180 fr. (art. 2 al. 1, let. a et b, RAJ [règlement cantonal vaudois du 7 décembre 2010 sur l'assistance judiciaire civile ; BLV 211.02.3]). Il convient d’ajouter des débours à concurrence de 81 fr. et la TVA au taux de 7,7% à hauteur de 131 fr., ce qui représente un montant total de 1’832 fr.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demeure tenue de rembourser la somme de 2’432 fr. (1’832 fr. + 600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