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ZD21.041166 vom 28. Juni 2023</w:t>
      </w:r>
    </w:p>
    <w:p>
      <w:r>
        <w:t>VD Tribunal cantonal, 2023-06-28, FR</w:t>
      </w:r>
    </w:p>
    <w:p>
      <w:r>
        <w:rPr>
          <w:b/>
        </w:rPr>
        <w:t xml:space="preserve">Quelle: </w:t>
      </w:r>
      <w:r>
        <w:t>https://mcp.opencaselaw.ch/entscheid/vd_gerichte_ZD21.041166</w:t>
      </w:r>
    </w:p>
    <w:p>
      <w:r>
        <w:t>FR: VD_GERICHTE ZD21.041166 du 28 juin 2023</w:t>
      </w:r>
    </w:p>
    <w:p>
      <w:r>
        <w:t>IT: VD_GERICHTE ZD21.041166 del 28 giugno 2023</w:t>
      </w:r>
    </w:p>
    <w:p>
      <w:pPr>
        <w:pStyle w:val="Heading2"/>
      </w:pPr>
      <w:r>
        <w:t>Erwägungen</w:t>
      </w:r>
    </w:p>
    <w:p>
      <w:r>
        <w:rPr>
          <w:b/>
        </w:rPr>
        <w:t>E. 1</w:t>
      </w:r>
    </w:p>
    <w:p>
      <w:r>
        <w:t>J’ai repris le suivi médical de Mme I.________ depuis fin 2018 avec une première rencontre le 20.11.2018. Mon prédécesseur le Dr [...] suivait Mme depuis le 16.03.2018. Mme I.________ présente des omalgies et douleurs chroniques de[s] membres supérieurs dont des investigations sont encore en cours. 2) Ces troubles ont-ils actuellement des répercussions sur sa capacité de travail ?</w:t>
      </w:r>
    </w:p>
    <w:p>
      <w:r>
        <w:rPr>
          <w:b/>
        </w:rPr>
        <w:t>E. 2</w:t>
      </w:r>
    </w:p>
    <w:p>
      <w:r>
        <w:t>Oui 3) Existe-t-il une capacité de travail résiduel[le] dans le cadre d’une activité adaptée ? Si oui, laquelle, et à quel taux ?</w:t>
      </w:r>
    </w:p>
    <w:p>
      <w:r>
        <w:rPr>
          <w:b/>
        </w:rPr>
        <w:t>E. 3</w:t>
      </w:r>
    </w:p>
    <w:p>
      <w:r>
        <w:t>Il me semble à l’heure actuelle difficile d’envisager une activité professionnelle même adaptée en limitant l’utilisation des membres supérieurs en raison de douleurs chroniques difficilement soulagées qui entraînent des consultations répétées aux urgences. Le fait qu’à l’heure actuelle aucune cause à ces douleurs ne soit retenue entraîne un sentiment de frustration et une impression de ne pas être prise au sérieux. 4) La poursuite d’un traitement médical est-elle encore nécessaire ?</w:t>
      </w:r>
    </w:p>
    <w:p>
      <w:r>
        <w:rPr>
          <w:b/>
        </w:rPr>
        <w:t>E. 4</w:t>
      </w:r>
    </w:p>
    <w:p>
      <w:r>
        <w:t>Oui. Pour rappel, Mme a bénéficié d’une cure de tunnel carpien à D le 11.4.201[7] et à G le 22.8.201[7] avec reprise chirurgicale en 2018. Depuis les plaintes persistent. Mme I.________ a bénéficié d’un</w:t>
      </w:r>
    </w:p>
    <w:p>
      <w:r>
        <w:t>- 4 - bilan anamnestiquement sans particularité en 2019 dont je n’ai malheureusement pas de rapport. J’ai demand[é] au Dr M.________, neurologue de refaire un point de la situation dernièrement. Il ne trouve pas d’anomalie à l’examen clinique et n’a pas de piste pour expliquer cette problématique. Je me permets de vous joindre son rapport en copie. Un nouveau rendez-vous en chir[urgie] de la main est également agendé. 5) Quels examens et analyses préconiseriez-vous dans le cadre de la santé de Madame I.________ ?</w:t>
      </w:r>
    </w:p>
    <w:p>
      <w:r>
        <w:rPr>
          <w:b/>
        </w:rPr>
        <w:t>E. 5</w:t>
      </w:r>
    </w:p>
    <w:p>
      <w:r>
        <w:t>Selon l’avis du chirurgien, je pourrais encore proposer à Mme I.________ d’être vu[e] par des spécialistes de la douleur au centre d’antalgie de Lausanne. Je me questionne également sur l’utilité de mettre en place un suivi psychologique ce que Mme n’a pas souhaité pour le moment. […] 6) L’occupation d’un emploi à 100% peut-elle actuellement être exigée de la part de Madame I.________ ?</w:t>
      </w:r>
    </w:p>
    <w:p>
      <w:r>
        <w:rPr>
          <w:b/>
        </w:rPr>
        <w:t>E. 6</w:t>
      </w:r>
    </w:p>
    <w:p>
      <w:r>
        <w:t>Non. 7) Avez-vous d’autres remarques à formuler ?</w:t>
      </w:r>
    </w:p>
    <w:p>
      <w:r>
        <w:rPr>
          <w:b/>
        </w:rPr>
        <w:t>E. 7</w:t>
      </w:r>
    </w:p>
    <w:p>
      <w:r>
        <w:t>Non.” En annexe à son rapport, la Dre A.__________ a joint celui établi le 28 octobre 2020 par le Dr M.________, spécialiste en neurologie, livrant l’appréciation suivante : “Cette patiente a donc développé tout d’abord en 2017 une symptomatologie de tunnel carpien qui toutefois n’a pas été confirmée sur le plan ENMG et qui n’a pas été améliorée après l’intervention alors qu’il semble que le status opératoire aurait mis en évidence une compression du nerf médian des 2 côtés. La patiente a été réopérée pour le syndrome du tunnel carpien cette fois-ci à gauche une année plus tard avec également un repositionnement du nerf cubital au niveau du coude suite à un ENMG qui aurait montré uniquement une discrète compression du nerf cubital au niveau du coude, tout ceci également sans amélioration. Finalement, l’évolution est très insatisfaisante avec persistance de paresthésies dans les 2 membres supérieurs, tantôt dans le territoire du nerf médian, tantôt dans le territoire du nerf cubital et ceci aussi bien diurne que nocturne, occasionnant des phénomènes de lâchages et de faiblesse ainsi que des douleurs mais plutôt localisées sur le bord cubital de l’avant-bras gauche. L’examen neurologique se révèle sans particularité, sans déficit moteur ni asymétrie des réflexes, notamment aux membres supérieurs, si ce n’est quelques lâchages antalgiques et des troubles</w:t>
      </w:r>
    </w:p>
    <w:p>
      <w:r>
        <w:t>- 5 - sensitifs purement subjectifs au niveau de la pulpe du pouce gauche ainsi que du pouce et de l’index droits. Le bilan ENMG est à nouveau strictement normal, sans évidence pour une neuropathie tronculaire aussi bien au niveau du nerf médian que du nerf cubital, et sans évidence non plus pour une atteinte plus proximale de type plexuelle basse (TOS). Je reste d’ailleurs un peu perplexe devant cette situation plutôt inhabituelle. Il semble d’ailleurs que la patiente a consulté le Dr [...], chirurgien de la main à Lausanne, qui n’a pas trouvé d’explication au tableau clinique et qui l’a adressée au Prof. [...] au CHUV qui, lui également, n’aurait pas amené d’explication ni de proposition thérapeutique. Toutefois ces renseignements sont essentiellement anamnestiques et je n’ai aucun rapport ni des neurologues, ni du Dr [...] ou le Dr [...]. J’ai quelques documents des chirurgiens qui ont opéré la patiente mais pas de co[mpt]e-rendu du protocole opératoire. Par ailleurs à l’examen clinique, je n’ai pas d’arguments pour une atteinte centrale et il semble qu’une IRM cervicale n’ait rien révélé de particulier.” Le 15 janvier 2021, le conseil de l’assurée a transmis à l’OAI la copie d’un courriel du 22 décembre 2020 adressé par la psychologue spécialiste en psychothérapie FSP D.________ et dont il ressort que cette intervenante était dans l’impossibilité de se prononcer sur les répercussions des difficultés d’ordre psychique sur la capacité de travail de l’assurée. Le 23 août 2021, l’OAI a reçu un rapport du 16 août 2021, aux termes duquel la médecin traitant a décrit la présence de douleurs abdominales chroniques depuis 2003, avec des douleurs investiguées empêchant l’assurée de « fonctionner à 100 % ». De multiples épisodes d’otalgies signalés en 2020 étaient sans répercussion sur la capacité de travail de l’assurée. En avril 2021, cette dernière avait été infectée par le SARS-CoV2 et souffrait depuis d’un Covid long avec asthénie, dyspnée au moindre effort (CT pulmonaire sans particularité en juin 2021) et d’un état dépressif réactionnel. Un syndrome douloureux chronique a été évoqué. Un suivi psychiatrique proposé ne semblait pas apporter de bénéfice et différents traitements à but antalgique avaient été entrepris sans nette amélioration des douleurs. En annexe, la Dre A.__________ a joint trois rapports de prise en charge en chirurgie viscérale. Dans un rapport du 17 décembre 2020 adressé à la médecin traitant, le Dr W.________, spécialiste</w:t>
      </w:r>
    </w:p>
    <w:p>
      <w:r>
        <w:t>- 6 - en chirurgie plastique, reconstructive et esthétique, a, au terme de sa consultation du 9 décembre 2020, confirmé l’absence d’anomalie clinique (absence de signe de compression tant du nerf médian que du nerf cubital au coude et ce de façon bilatérale), n’ayant aucune proposition opératoire à formuler ; malgré l’examen effectué par le Dr M.________, le Dr W.________ suggérait d’adresser l’assurée au service de neurologie du CHUV à la recherche d’une pathologie plus rare que la compression qui avait motivé les opérations réalisées, mais n’avaient pas apporté d’amélioration. Un nouvel examen électrophysiologique du 31 mai 2021 a montré une conduction nerveuse des membres supérieurs dans la norme, des nerfs sensitifs de grandes tailles, avec une hyperexcitabilité nerveuse physiologique évoquée, et l’absence d’argument clinique en faveur d’une atteinte des petites fibres ou d’une atteinte centrale (rapport d’examen électrophysiologique du 31 mai 2021 de la Dre A.________, spécialiste en neurologie). Par décision du 27 août 2021, l’OAI a entériné le projet d’acceptation d’une rente entière du 1er septembre au 31 décembre 2018, la motivant comme suit : “Selon les renseignements en notre possession, vous travaillez en qualité de secrétaire. Depuis avril 2017, votre capacité de gain est considérablement réduite. A l’examen de votre dossier, notamment des pièces médicales, nous constatons qu’à l’échéance du délai de carence, soit en avril 2018, vous présentez une incapacité de travail et de gain entière dans toutes activités, ce qui vous donne droit à une rente basée sur un degré d’invalidité de 100%. Puis, dès le 1 octobre 2018, vous présentez une capacité de travail raisonnablement exigible de 100% dans toutes activités. […] Le droit potentiel à la rente naît en avril 2018. Cependant, la demande de prestations a été déposée le 2 mars 2018 seulement. Dès lors, la demande est tardive et la rente ne peut être allouée qu’à partir du 1er septembre 2018.</w:t>
      </w:r>
    </w:p>
    <w:p>
      <w:r>
        <w:t>- 7 - Au vu de ce qui précède, vous avez droit à une rente entière (taux 100%) du 1er septembre 2018 au 31 décembre 2018 (soit trois mois après l’amélioration, ceci conformément à l’art. 88a al. 2 [recte : 1] RAI [règlement du 17 janvier 1961 sur l’assurance-invalidité ; RS 831.201]).” B. Par acte du 29 septembre 2021, I.________, représentée par Me Guy Longchamp, a déféré la décision précitée devant la Cour des assurances sociales du Tribunal cantonal, en concluant à sa réforme, en ce sens qu’une « rente ordinaire d’invalidité à 100 % » lui est reconnue au- delà du 31 décembre 2018. Subsidiairement, elle a conclu à l’annulation de la décision attaquée et au renvoi du dossier à l’OAI pour nouvelle décision dans le sens des considérants. En substance, elle a fait valoir, sur la base du rapport du 16 août 2021 de la Dre A.__________, que son état de santé s’était aggravé depuis le 24 mars 2020, estimant avoir droit à une rente entière d’invalidité au-delà du 31 décembre 2018. A tout le moins, elle estimait que l’OAI aurait dû mettre en œuvre une expertise pluridisciplinaire avant de statuer. La recourante se réservait la possibilité de produire un rapport médical détaillé et, le cas échéant, de solliciter la mise en œuvre d’une expertise. Indiquant qu’elle était bénéficiaire du Revenu d’insertion (RI), elle a requis l’octroi de l’assistance judiciaire. Par décision du 28 octobre 2021, I.________ a été mise au bénéfice de l’assistance judiciaire avec effet au 29 septembre 2021, Me Guy Longchamp étant désigné comme avocat d’office. Dans sa réponse du 1er décembre 2021, l’OAI a conclu au rejet du recours et à la confirmation de la décision querellée, sans mesures d’instruction supplémentaires. Il a produit un avis du 11 novembre 2021 du Dr B.________, du SMR, auquel il se ralliait. Le 26 juillet 2022, en réplique, maintenant ses précédentes conclusions et déplorant l’absence d’une analyse rhumatologique effectuée par l’OAI au vu des rapports des 14 mars et 13 juin 2019 du Dr [...] et du 28 février 2020 de la médecin traitant, rappelant qu’elle présentait un Covid long avec asthénie, une dyspnée au moindre effort (avec CT pulmonaire SP [sans particularité] en juin 2021) et un état</w:t>
      </w:r>
    </w:p>
    <w:p>
      <w:r>
        <w:t>- 8 - dépressif réactionnel, la recourante a requis la mise en œuvre d’une expertise judiciaire pluridisciplinaire, subsidiairement le renvoi du dossier à l’OAI pour mise en place d’une telle expertise, conformément à son devoir d’instruire. Dans sa duplique du 25 août 2022, l’OAI a derechef conclu au rejet du recours et au maintien de la décision querellée.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 était fondé, par sa décision du 27 août 2021, à limiter le versement d’une rente entière à la période du 1er septembre au 31 décembre 2018, la recourante faisant valoir, pour sa part, qu’elle présentait une aggravation de son état de santé depuis le 24 mars 2020, propre à lui donner droit à une rente entière, sans limite dans le temps. b) Des modifications législatives et réglementaires sont entrées en vigueur au 1er janvier 2022 dans le cadre du « développement continu de l'AI » (loi fédérale sur l’assurance-invalidité [LAI]</w:t>
      </w:r>
    </w:p>
    <w:p>
      <w:r>
        <w:t>- 9 -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août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- 10 -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w:t>
      </w:r>
    </w:p>
    <w:p>
      <w:r>
        <w:t>- 11 -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l’art. 43 al. 1 LPGA, l’assureur examine les demandes, prend d’office les mesures d’instruction nécessaires et recueille les renseignements dont il a besoin. Les renseignements donnés oralement doivent être consignés par écrit. Des avis du SMR constituent des rapports au sens de l'art. 59 al. 2bis LAI (dans sa teneur en vigueur au 31 décembre 2021) en corrélation avec l'art. 49 al. 1 RAI (cf. arrêt 9C_858/2014 du 3 septembre 2015 consid. 3.3.2). De tels rapports ont pour fonction d'opérer la synthèse des renseignements médicaux versés au dossier et de prodiguer des recommandations quant à la suite à donner au dossier sur le plan médical (cf. ATF 142 V 58 consid. 5.1 ; TF 8C_616/2020 du 15 juin 2021 consid. 6.2.4 ; 8C_756/2008 du 4 juin 2009 consid. 4.4). 5. a) A l’appui de sa réponse du 1er décembre 2021, l’office intimé a fait verser au dossier un avis du 11 novembre 2021 du Dr B.________, du SMR, auquel il se ralliait, et qui se termine comme suit : “Conclusion : Jeune assurée au bénéfice d’une formation certifiante, qui présente au premier plan des symptômes au niveau des membres supérieurs, associant perte de force, douleurs, et fourmillements, n’ayant été que transitoirement améliorés par les prises en charge chirurgicales. Au terme de la présente instruction,</w:t>
      </w:r>
    </w:p>
    <w:p>
      <w:r>
        <w:t>- 12 - force est de constater que plusieurs spécialistes ont été impliqués dans les investigations de l’assurée et se sont prononcé[s] de manière unanime sur l’absence d’éléments objectifs permettant d’expliquer ses symptômes. Il n’existe pas au dossier d’éléments cliniques ou paracliniques permettant d’amener une explication cohérente à la situation médicale, tout comme d’élément direct ou indirect qui pourraient parler en faveur d’une diminution de l’utilisation des membres supérieurs (amyotrophie par exemple). L’atteinte ORL est décrite comme n’ayant pas d’impact sur la CT [capacité de travail], et la symptomatologie abdominale, présente depuis bientôt 20 ans, s’est certes aggravée transitoirement avant d’avoir pratiquement disparu (d’après les conclusions du spécialiste en chirurgie). Il est important de relever qu’en dehors du médecin traitant, qui fonde manifestement son appréciation de la CT sur les éléments anamnestiques et subjectifs, aucun des autres médecins consultés ne se prononce en faveur d’une diminution de la CT ou ne rapporte des éléments en faveur d’une répercussion significative et durable des symptômes sur les autres domaines de la vie de l’assurée. Finalement, malgré l’importance des douleurs, il reste étonnant d’un point de vue médical que le traitement antalgique n’ait pas été adapté, et qu’il ne soit souvent même pas mentionné. D’un point de vue psychiatrique, l’assurée a été suivie par une psychologue : cette dernière malgré plusieurs sollicitations, ne s’est pas prononcé. Elle n’a vraisemblablement, tout comme le médecin traitant, pas jugé nécessaire d’adresser l’assurée en consultation avec un médecin psychiatre, afin notamment de préciser un éventuel diagnostic ou adapter le(s) traitement(s). Il semble dès lors qu’une atteinte apparentée à un trouble somatoforme douloureux ne puisse pas non plus être retenue en l’état, pas plus qu’un épisode anxiodépressif ayant une importance clinique significative. Au vu de ce qui précède, force est de constater que d’un point de vue médical, les symptômes de l’assurée restent inexpliqués face à la normalité des différentes appréciations, et que ces derniers ne peuvent pas non plus être mis sur le compte d’une pathologie d’ordre psychiatrique. Nous n’avons pas non plus d’argument en faveur de répercussions significatives et durables de ces symptômes sur l’ensemble des domaines de la vie de l’assurée. Nous proposons de maintenir nos précédentes conclusions.” b) Comme cela est exposé dans la synthèse complète du SMR du 11 novembre 2021, l’instruction sur le plan médical a été correctement diligentée, avec l’interpellation des spécialistes consultés par la recourante (neurologie, chirurgie de la main et psychologie), qui n’ont objectivé aucune atteinte à la santé propre à expliquer les douleurs persistantes, respectivement une restriction de la capacité de travail. Depuis le traitement du tunnel carpien, le corps médical a décrit une évolution qui est restée très insatisfaisante avec la persistance de douleurs dans les deux membres supérieurs. La totalité des investigations médicales menées à ce jour n’ont pas permis d’objectiver les</w:t>
      </w:r>
    </w:p>
    <w:p>
      <w:r>
        <w:t>- 13 - répercussions des difficultés d’ordre physique et psychique sur la capacité de travail de la recourante. La médecin traitant (Dre A.__________) se borne quant à elle à opposer un avis divergent, fondé sur les plaintes de sa patiente, listant diverses pathologies qui empêcheraient l’intéressée de « fonctionner à 100 % ». Or les plaintes de la recourante, subjectives, ne sauraient à elles seules fonder un constat objectif. En particulier, l’infection en avril 2021 par le SARS-CoV2 avec dans son sillage un Covid long, une asthénie et un état dépressif réactionnel ne sont pas à même de quantifier une incapacité de travail faute de disposer d’éléments objectifs au dossier. La médecin généraliste n’a du reste aucune proposition thérapeutique à formuler dans le contexte d’un suivi psychiatrique qui ne semblait pas apporter de bénéfice, et de divers traitements à but antalgique qui n’avaient pas induit une nette amélioration s’agissant des douleurs. Aussi, la Dre A.__________ n’objective pas son appréciation de la capacité de travail résiduelle de sa patiente. De manière plus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Pareil raisonnement vaut également pour la psychologue D.________, laquelle a au demeurant admis qu’elle était dans l’impossibilité de se prononcer sur les répercussions des difficultés d’ordre psychique sur la capacité de travail de la recourante. Aucun diagnostic de trouble somatoforme douloureux ou d’atteinte apparentée n’ayant été posé, il n’y a pas lieu, en présence d’un dossier bien instruit, de faire procéder à l’expertise pluridisciplinaire que commanderait un tel diagnostic (cf. ATF 143 V 418 consid. 6 et 7 ; 141 V 281 et les références citées). Ainsi, il n’y a pas lieu de compléter l’instruction, comme le requiert la recourante, dès lors que le dossier est complet et permet à la Cour de céans de statuer en pleine connaissance de cause (appréciation anticipée des preuves : ATF 145 I 167 consid. 4.1 ; 140 I 285 consid. 6.3.1 ; 130 II 425 consid. 2.1).</w:t>
      </w:r>
    </w:p>
    <w:p>
      <w:r>
        <w:t>- 14 - c) L’avis du SMR du 11 novembre 2021 constituant un rapport de synthèse clair et bien motivé, en rendant compte de tous les avis des médecins qui ont examiné la recourante, il convient de s’y rapporter pour admettre l’absence d’aggravation objective et significative de l’état de santé de cette dernière depuis le 24 mars 2020 et jusqu’au 27 août 2021, date à laquelle la décision attaquée a été rendue. d) Il suit de ce qui précède qu’à l’échéance du délai de carence, soit en avril 2018, la recourante présentait une incapacité entière de travail et de gain en toute activité. Compte tenu du dépôt tardif de la demande de prestations le 2 mars 2018, une rente entière ne peut toutefois être allouée qu’à partir du 1er septembre 2018. La recourante a dès lors droit à une rente entière, sur la base d’un taux d’invalidité de 100 %, pour la période allant du 1er septembre au 31 décembre 2018 (soit trois mois après l’amélioration constatée en octobre 2018, conformément à l’art. 88a al. 1 RAI). C'est donc à juste titre que l'office intimé a nié le droit aux prestations à compter du 1er janvier 2019. 6.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Me Longchamp, bien qu’invité à deux reprises à le faire, n’a pas produit la liste de ses opérations, lesquelles seront donc</w:t>
      </w:r>
    </w:p>
    <w:p>
      <w:r>
        <w:t>- 15 - estimées au regard du travail effectué, à savoir un double échange d’écritures, mais sans que les actes du mandataire aient revêtu une complexité ou une densité particulière. Ce mandataire se verra dès lors allouer une équitable indemnité correspondant à huit heures de travail et arrêtée à 2’261 fr. 70, débours et TVA compris (art. 2, 3 al. 2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