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ZD21.041156 vom 6. Dezember 2023</w:t>
      </w:r>
    </w:p>
    <w:p>
      <w:r>
        <w:t>VD Tribunal cantonal, 2023-12-06, FR</w:t>
      </w:r>
    </w:p>
    <w:p>
      <w:r>
        <w:rPr>
          <w:b/>
        </w:rPr>
        <w:t xml:space="preserve">Quelle: </w:t>
      </w:r>
      <w:r>
        <w:t>https://mcp.opencaselaw.ch/entscheid/vd_gerichte_ZD21.041156</w:t>
      </w:r>
    </w:p>
    <w:p>
      <w:r>
        <w:t>FR: VD_GERICHTE ZD21.041156 du 6 décembre 2023</w:t>
      </w:r>
    </w:p>
    <w:p>
      <w:r>
        <w:t>IT: VD_GERICHTE ZD21.041156 del 6 dicembre 2023</w:t>
      </w:r>
    </w:p>
    <w:p>
      <w:pPr>
        <w:pStyle w:val="Heading2"/>
      </w:pPr>
      <w:r>
        <w:t>Erwägungen</w:t>
      </w:r>
    </w:p>
    <w:p>
      <w:r>
        <w:rPr>
          <w:b/>
        </w:rPr>
        <w:t>E. 31</w:t>
      </w:r>
    </w:p>
    <w:p>
      <w:r>
        <w:t>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c)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d) Les règles et principes jurisprudentiels relatifs à la révision du droit à une rente d’invalidité, au sens de l’art. 17 al. 1 LPGA,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8C_607/2015 du 3 février 2016 consid. 2).</w:t>
      </w:r>
    </w:p>
    <w:p>
      <w:r>
        <w:t>- 16 - 6.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S’agissant des rapports établis par les médecins traitants, le juge peut et doit tenir compte du fait que, selon l’expérience, la relation</w:t>
      </w:r>
    </w:p>
    <w:p>
      <w:r>
        <w:t>- 17 -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d) Fondés sur l’art. 59 al. 2bis LAI,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 7. En l’occurrence, à la suite de sa chute du 30 octobre 2018, le recourant a présenté une lésion de la coiffe des rotateurs à l’épaule gauche et a subi une arthroscopie le 11 avril 2019. Dans son rapport du 4 juillet 2019, la Dre L.________ a en outre mentionné une lésion de la coiffe des rotateurs également à l’épaule droite ainsi que des lombalgies chroniques sur discopathie. Elle a relevé que le recourant n’était plus capable d’exercer à nouveau son dernier emploi, mais qu’il était apte à effectuer, huit heures par jour, un emploi qui tiendrait compte de ses limitations fonctionnelles, soit qui impliquerait des travaux légers ou uniquement des travaux non physiques. Au titre de déficits fonctionnels, elle a indiqué le port de charges, la flexion du tronc, le mouvement de rotation du tronc, l’élévation des bras et les mouvements répétitifs des épaules.</w:t>
      </w:r>
    </w:p>
    <w:p>
      <w:r>
        <w:t>- 18 - Vu la persistance des douleurs du recourant, un séjour a été organisé du 8 janvier au 4 février 2020 auprès de C.________, lors duquel les diagnostics principaux suivants ont été posés concernant l’épaule gauche : traumatisme avec rupture complète des sus- et sous-épineux, lésion des bourrelets antérieur et supérieur et luxation du long chef du biceps, ainsi qu’une involution graisseuse et rétractions des tendons sus- et sous-épineux, une capsulite rétractile alors au décours et une omarthrose débutante. Comme diagnostics secondaires, il a été retenu des lombo-cruralgies chroniques L5 non déficitaires bilatérales, ainsi qu’une omalgie droite chronique sur tendinopathie avec petite déchirure non transfixiante du sus-épineux, tendinopathie sans déchirure du sous- épineux et discrète tendinopathie du long chef du biceps. Dans le cadre de leur appréciation du cas, les médecins de C.________ ont alors noté que l’état serait stabilisé d’ici deux à trois mois. Ils ont également mentionné une discordance entre les plaintes du recourant et les lésions objectives, et observé des autolimitations du prénommé, lequel sous-estimait ses aptitudes fonctionnelles et ne réalisait pas les tests effectués avec beaucoup de volonté, de sorte que le niveau de cohérence des résultats au cours de l’évaluation était faible. S’agissant de la question de savoir si le recourant était susceptible de reprendre une activité professionnelle, ils ont noté que le pronostic de réinsertion dans l’activité de chauffeur était actuellement défavorable pour des facteurs non médicaux, étant précisé que le bilan objectif médical et les conclusions des observations en ateliers permettaient d’estimer que la reprise dans un emploi similaire, pour autant que les limitations fonctionnelles retenues soient respectées, était possible. Quant au pronostic de réinsertion dans une activité adaptée aux limitations fonctionnelles, il était a priori favorable, le recourant ayant participé à des ateliers professionnels, dans lesquels il avait été capable de réaliser des activités avec un niveau d’effort très léger (inférieur à 5 kg) durant des périodes allant jusqu’à quatre heures consécutives. Il était par ailleurs relevé que la position assise prolongée ainsi que certaines activités demandant une intégration des membres supérieurs de manière régulière pouvaient être accomplies durant plusieurs heures (cf. rapport du 18 février 2020 des Drs V.________ et F.________ de C.________).</w:t>
      </w:r>
    </w:p>
    <w:p>
      <w:r>
        <w:t>- 19 - Dans son rapport du 1er avril 2020, le SMR a relevé que l’atteinte lombaire était ancienne et présente déjà lors de la première demande de prestations de l’assurance-invalidité et qu’il n’y avait pas d’éléments dans le dossier parlant en faveur d’une décompensation de ce trouble à la santé. Quant à l’atteinte de l’épaule droite, elle était peu importante selon l’IRM de juin 2019. Le status post déchirure de la coiffe des rotateurs de l’épaule gauche traité par arthroscopie et le début d’arthrose gléno-humérale gauche étaient considérés comme incapacitants dans la dernière activité de chauffeur qui était physiquement modérément contraignante. Le SMR s’est rallié aux limitations fonctionnelles mises en évidence par les médecins de C.________ et ont retenu une capacité de travail complète depuis le 5 février 2020 dans une activité adaptée ménageant l’épaule gauche. Ainsi, tous les médecins précités s’accordent sur le fait que le recourant dispose d’une pleine capacité de travail dans une activité adaptée et aucun ne retient des limitations fonctionnelles plus étendues que celles prises en compte par l’intimé dans la décision litigieuse. Par ailleurs, quoi qu’en dise le recourant, les éléments qui précèdent ne sont pas contredits par les pièces qu’il a produites à l’appui de ses déterminations du 12 juin 2020 sur le projet de décision de l’intimé. En effet, dans leur rapport médical du 3 avril 2020, les Drs B.________ et G.________ ne se déterminent pas sur la capacité de travail du recourant, mais uniquement sur les thérapies envisageables afin de diminuer ses douleurs. De même, le rapport du Prof. K.________ du 28 février 2020 porte exclusivement sur les possibilités – inexistantes en l’occurrence – d’interventions chirurgicales pour diminuer les douleurs et les limitations de mouvement de l’assuré, sans se prononcer sur l’aptitude de ce dernier à reprendre une activité professionnelle. Quant au certificat médical du 5 juin 2020 qui mentionne que le recourant est en arrêt de travail à 100 % du 5 juin au 6 juillet 2020, force est de constater qu’il ne précise pas la cause de cet arrêt et qu’il a été établi par la Dresse L.________ qui a, de manière constante, considéré que le recourant était apte à travailler dans une activité adaptée (cf. rapport médical détaillé du 4 juillet 2019 et</w:t>
      </w:r>
    </w:p>
    <w:p>
      <w:r>
        <w:t>- 20 - rapport médical somatique du 20 octobre 2020 de cette même doctoresse), de sorte qu’on ne saurait déduire quoi que ce soit de cette pièce. Relevons à ce sujet que dans son rapport médical somatique du 20 octobre 2020, la Dresse L.________, prenant en compte les rapports précités produits par le recourant, ainsi que le rapport d’hospitalisation de la Clinique A.________ du 6 janvier 2020, le rapport médical du 11 février 2020 du Prof. M.________ et l’évaluation du 3 juin 2020 des infiltrations réalisées à E.________, a retenu que le recourant n’était pas limité dans ses mouvements s’agissant de son épaule droite, laquelle était parfois douloureuse, mais qu’en revanche, son épaule gauche était bloquée à environ 30° d’abduction et d’antépulsion. Elle en a conclu qu’il disposait d’une capacité de travail de 100 % dans une activité adaptée, c’est-à-dire sans port de charge au-dessus du plan horizontal des épaules, sans activité répétitive du membre supérieur gauche, sans flexion du dos et sans port de charge supérieure à 5 kg. Dans son avis médical du 12 novembre 2020 – rendu après avoir repris et complété l’instruction du dossier pour tenir compte de l’ensemble des rapports médicaux concernant le recourant – le SMR est arrivé à la même conclusion et en a déduit que le recourant était capable de travailler à 100 % dans une activité adaptée depuis sa sortie de C.________. Il résulte de ce qui précède que l’intimé était fondé à retenir que le recourant a présenté une incapacité de travail dès le 30 octobre 2018, mais qu’il pouvait, dès le 4 février 2020, reprendre une activité professionnelle adaptée à ses limitations fonctionnelles, étant précisé que la mauvaise maîtrise du français alléguée par le recourant n’est pas un élément déterminant à cet égard, puisque son niveau de français ne l’a pas empêché de trouver des emplois en Suisse par le passé. L’absence de formation professionnelle n’a pas non plus d’influence dans les activités adaptées envisagées par l’intimé qui font partie du niveau de compétence 1 de l’ESS et ne requièrent ni formation, ni expérience professionnelle</w:t>
      </w:r>
    </w:p>
    <w:p>
      <w:r>
        <w:t>- 21 - spécifique (TF 8C_122/2019 du 10 septembre 2019 consid. 4.3.1.4 ; TF 8C_103/2018 du 25 juillet 2018 consid. 5.2). 8. Le recourant critique ensuite le calcul auquel a procédé l’intimé pour arrêter son taux d’invalidité. Il conteste tant les montants retenus à titre de revenu sans atteinte à la santé qu’à titre de revenu avec atteinte. 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au 31 décembre 2021]).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c)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w:t>
      </w:r>
    </w:p>
    <w:p>
      <w:r>
        <w:t>- 22 -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d) S’agissant du revenu avec atteinte à la santé, c’est à juste titre que l’intimé s’est basé sur les données salariales statistiques ressortant de l’ESS, dès lors que le recourant n’exerce plus aucune activité</w:t>
      </w:r>
    </w:p>
    <w:p>
      <w:r>
        <w:t>- 23 - lucrative. Cela étant, il y a lieu de se référer à l’ESS 2018 au lieu de l’ESS 2016, dans la mesure où les données statistiques relatives à l’année 2018 étaient disponibles au moment où la décision attaquée a été rendue le 8 janvier 2021. C’est donc un salaire de référence de 5'417 fr. par mois qui doit être pris en compte sur la base de l’ESS 2018 (tableau TA1_skill_level, tous secteurs confondus, niveau de compétences 1, hommes), qui correspond au revenu annuel de 67'766 fr. 67, après adaptation à l’horaire de travail usuel dans les entreprises en 2018 (soit 41,7 heures [cf. Office fédéral de la statistique, Durée normale du travail dans les entreprises selon la division économique]). Compte tenu de l’évolution des salaires nominaux pour les hommes (+ 0,9 % en 2019, + 0,8 % en 2020 ; cf. tableau T39 « Evolution des salaires nominaux, des prix à la consommation et des salaires réels 2010-2021 »), le revenu annuel pour 2020 s’élève à 68'923 fr. 58. Compte tenu de l’abattement de 15 % retenu par l’intimé, le revenu avec invalidité est en l’occurrence de 58'585 fr. 05. Dans ses écritures, le recourant s’étonne qu’un rabattement de 15 %, tenant compte de son âge et de ses limitations fonctionnelles, soit effectué sur le revenu hypothétique qu’il pourrait obtenir dans une activité professionnelle prenant déjà en considération ses limitations fonctionnelles. Ainsi, si l’on comprend bien le recourant, l’intimé aurait dû lui imputer un revenu avec atteinte à la santé plus élevé, ce qui justifie d’autant plus le refus de la rente, puisque sans l’abattement opéré par l’intimé le degré d’invalidité du recourant serait plus faible. e) En ce qui concerne le revenu sans atteinte à la santé, l’intimé a retenu un montant de 50'304 fr. 61. Selon le document du 7 avril 2020 « calcul du salaire exigible », cet office est arrivé à ce montant en se fondant sur l’activité de nettoyeur de locaux et bureaux que le recourant a exercée jusqu’en septembre 2009, soit lors du dépôt de sa première demande de rente d’invalidité, sans tenir compte de l’emploi de chauffeur et collaborateur d’entretien qu’il exerçait au sein de la société O.________ lors de la survenance de l’accident d’octobre 2018 fondant la demande de rente objet de la présente procédure. Le recourant estime que l’intimé aurait dû prendre en compte ce dernier salaire, lequel</w:t>
      </w:r>
    </w:p>
    <w:p>
      <w:r>
        <w:t>- 24 - s’élevait à 75'056.80 fr. brut par année, correspondant à un salaire mensuel de 5'773 fr. 60 perçu treize fois l’an. Dans un courrier du 17 novembre 2020 adressé à l’avocate du recourant, l’intimé a expliqué les raisons l’ayant conduit à ne pas tenir compte du dernier salaire. Il ressort de cette correspondance que l’intimé s’est référé au salaire que le recourant percevait dans son ancienne activité de nettoyeur dès lors qu’il présentait depuis mars 2009 déjà, soit antérieurement à son incapacité de travail d’octobre 2018, des limitations fonctionnelles qui étaient toujours d’actualité et qui avaient été retenues dans la première décision du 6 mai 2010. Quoi qu’il en soit, comme l’a souligné à juste titre l’intimé dans son courrier précité, même en retenant un revenu sans atteinte à la santé correspondant à celui que le recourant percevait auprès de la société O.________, on aboutirait à un revenu annuel de 76'338 fr. 15 après indexation à 2020, et à un degré d’invalidité de 23,25 % ([76'338 fr. 15 - 58'585 fr. 05] / 76'338 fr. 15 x 100), qui est insuffisant pour ouvrir le droit à une rente. 9. Pour le reste, les arguments du recourant se fondent exclusivement sur des faits et pièces nouveaux irrecevables (cf. consid. 4b supra), de sorte qu’ils ne sauraient remettre en cause le bien-fondé de la décision attaquée. 10. Le dossier est complet et permet à la Cour de céans de statuer en pleine connaissance de cause. Il n’y a dès lors pas lieu de compléter l’instruction comme le requiert le recourant par la production de son dossier de l’assurance-chômage et la mise en œuvre d’une expertise médicale. De telles mesures ne seraient pas de nature à modifier les considérations qui précèdent, les faits pertinents ayant pu être constatés à satisfaction de droit (appréciation anticipée des preuves : ATF 145 I 167 consid. 4.1 ; 140 I 285 consid. 6.3.1). La requête du recourant en ce sens doit ainsi être rejetée.</w:t>
      </w:r>
    </w:p>
    <w:p>
      <w:r>
        <w:t>- 25 - 11. En conclusion, le recours, mal fondé, doit être rejeté et la décision litigieuse confirmée.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