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ZD21.040758 vom 13. Juni 2022</w:t>
      </w:r>
    </w:p>
    <w:p>
      <w:r>
        <w:t>VD Tribunal cantonal, 2022-06-13, FR</w:t>
      </w:r>
    </w:p>
    <w:p>
      <w:r>
        <w:rPr>
          <w:b/>
        </w:rPr>
        <w:t xml:space="preserve">Quelle: </w:t>
      </w:r>
      <w:r>
        <w:t>https://mcp.opencaselaw.ch/entscheid/vd_gerichte_ZD21.040758</w:t>
      </w:r>
    </w:p>
    <w:p>
      <w:r>
        <w:t>FR: VD_GERICHTE ZD21.040758 du 13 juin 2022</w:t>
      </w:r>
    </w:p>
    <w:p>
      <w:r>
        <w:t>IT: VD_GERICHTE ZD21.040758 del 13 giugno 2022</w:t>
      </w:r>
    </w:p>
    <w:p>
      <w:pPr>
        <w:pStyle w:val="Heading2"/>
      </w:pPr>
      <w:r>
        <w:t>Volltext</w:t>
      </w:r>
    </w:p>
    <w:p>
      <w:r>
        <w:t>TRIBUNAL CANTONAL AI 354/21 - 180/2022 ZD21.040758 CO UR DE S ASSURANCES S OCIALES _____________________________________________ Arrêt du 13 juin 2022 __________________ Composition : Mme DESSAUX, présidente MM Neu et Métral, juges Greffier : M. Favez ***** Cause pendante entre : R.________, à [...], recourante, représentée par Me Pierre Ventura, avocat à Lausanne, et OFFICE DE L’ASSURANCE-INVALIDITÉ POUR LE CANTON DE VAUD, à Vevey, intimé. _______________ Art. 43 LPGA 402</w:t>
      </w:r>
    </w:p>
    <w:p>
      <w:r>
        <w:t>- 2 - E n f a i t : A. R.________ (ci-après : l’assurée ou la recourante), née en 197[...], divorcée et mère de deux enfants nés en 200[...] et 200[...], a travaillé en qualité de fleuriste jusqu’en 1997. Après avoir exercé une activité ménagère à plein temps, elle a souhaité reprendre une activité professionnelle à sa séparation en 2014. Le 16 octobre 2015, l’assurée a déposé une demande de prestations (mesures professionnelles / rente) auprès de l’Office de l’assurance-invalidité pour le canton de Vaud (ci-après : l’OAI ou l’intimé) en raison d’une ténosynovite sténosante, d’une perte de force dans les deux mains, d’une épicondylite aux deux coudes et de douleurs incessantes en augmentation dans les deux mains et coudes. Dans le formulaire 531bis intitulé « DETERMINATION DU STATUT (PART ACTIVE / PART MENAGERE) », complété le 19 novembre 2015, l’assurée a fait savoir à l’OAI que, sans atteinte à la santé, elle travaillerait à un taux d’activité de 100 % pour des raisons financières. Dans le cadre de l’instruction de cette demande, l’OAI a recueilli des renseignements médicaux auprès du Dr H.________, médecin traitant et spécialiste en médecine interne générale (rapports des 11 février 2016, 27 mai 2016, 15 septembre 2016, 18 janvier 2017) et du Centre B.________ ([...] ; rapports des 20 mars et 7 mai 2014 ainsi que des 9 septembre et 8 octobre 2015 de la Dre L.________, spécialiste en chirurgie de la main ; rapport du 8 juin 2015 de la Dre Q.________, spécialiste en chirurgie de la main ; rapport du 7 janvier 2016 de la Dre D.________, spécialiste en rhumatologie, et de la Dre M.________, médecin-assistante ; rapport du 17 octobre 2016 de la Dre X.________, spécialiste en chirurgie de la main). L’OAI a complété l’instruction de la demande par une enquête économique sur le ménage, laquelle a mis en évidence, d’une part, que</w:t>
      </w:r>
    </w:p>
    <w:p>
      <w:r>
        <w:t>- 3 - l’assurée travaillerait à 80 % si elle n’était pas atteinte dans sa santé et, d’autre part, une entrave de 18,05 % dans l’accomplissement des travaux habituels (rapport du 11 novembre 2016). S’agissant de la part active, l’enquêteur a retenu ce qui suit : « L’assurée a arrêté son activité lucrative lors de la naissance de son premier enfant, afin de s’en occuper à plein temps. Le salaire du mari était suffisant pour subvenir aux besoins de la famille. Le couple s’est séparé et l’assurée vit seule depuis janvier 2014. Selon ses dires, elle aurait dû reprendre une activité professionnelle au- moins à 80 % dès cette date afin d’améliorer la situation financière de la famille. Le plus jeune des fils étant âgé de 11 ans en 2014, elle n’avait plus besoin d’être à domicile toute la journée. En conséquence, nous proposons un statut de 80% active dès le 1er janvier 2014. » Afin de déterminer plus précisément la capacité de travail de l’assurée sur les plans rhumatologique, psychiatrique et de la médecine interne, le Service médical régional de l’assurance-invalidité (ci-après : le SMR) a proposé la mise en œuvre d’une expertise (cf. avis SMR du 15 février 2018 de la Dre T.________). L’OAI a confié la réalisation de cette expertise au F.________ qui a rendu un premier rapport le 21 novembre 2018 (médecine interne, psychiatrie et orthopédie), puis, en raison d’un malentendu sur les spécialités médicales à investiguer (cf. échange de courriers entre l’OAI et le F.________ des 29 janvier, 21 février et 13 mars 2019 ; note d’entretien téléphonique de l’OAI du 20 mars 2019), un second rapport le 29 août 2019 incluant un examen rhumatologique. Le Dr F.M.________, spécialiste en médecine interne générale, le Dr F.P.________, spécialiste en psychiatrie et psychothérapie, le Dr F.O.________, spécialiste en chirurgie orthopédique et traumatologie de l’appareil locomoteur, et la Dre F.R.________, spécialiste en rhumatologie et en médecine physique et réadaptation, ont procédé aux examens utiles les 3 et 12 octobre 2018, ainsi que le 17 avril 2019, complétés par des radiographies le 3 octobre 2018 et des analyses de laboratoire le 12 octobre 2018. Dans leur rapport du 29 août 2019, les experts ont posé les diagnostics suivant, ayant ou non une incidence sur la capacité de travail :</w:t>
      </w:r>
    </w:p>
    <w:p>
      <w:r>
        <w:t>- 4 - « - Arthralgies des deux mains d’origine indéterminée (non rhumatismale) avec : - Status après opération d’un syndrome de De Quervain des deux côtés (un côté en 1994 et l’autre côté en 1995) - Status après opération d’un syndrome du tunnel carpien droit en 2005 - Status après opération d’une récidive d’un syndrome du tunnel carpien le 19.05.2014 - Opération de l’index et du majeur droit à ressaut le 27.10.2014. - Hyperlaxité articulaire bénigne (syndrome d’Ehlers-Danlos) - Cervicalgies chroniques communes - Lombalgies chroniques communes » Au terme de leur analyse consensuelle du cas, ils ont conclu que la capacité de travail dans l’activité habituelle de fleuriste était nulle, mais qu’il subsistait une capacité de travail résiduelle de 50 % dans une activité adaptée aux limitations fonctionnelles rhumatologiques et orthopédiques (« Pas d’efforts physiques, économie des articulations, en particulier pas de mouvements répétitifs des poignets et des mains, pas de port itératif de charges &gt; 5 kg, pas de montée ou de descente itérative des escaliers, pas de longs déplacements, déplacements limités sur terrain inégal, pas de travail en hauteur, pas de mouvements répétés en porte-à- faux du rachis, pas de travail les bras levés au-dessus de l’horizontale. » ). Dans un avis du 11 octobre 2019, le Dr Z.________, médecin au SMR, a admis la diminution de la capacité de travail retenue par les experts, fixé le début de l’incapacité de travail durable au mois de février 2014 et fait savoir que l’assurée était apte à la réadaptation dès le mois de mai 2016. Par projet de décision du 8 novembre 2019, l’OAI a informé l’assurée de son intention de lui accorder une rente entière du 1er avril au 31 juillet 2016, puis, dès le 1er janvier 2018, un quart de rente. R.________, désormais représentée par Me Loucy Weil, s’est opposée à ce projet, produisant notamment un rapport du 17 janvier 2020 du Dr C.________, spécialiste en médecine physique et réadaptation, aux</w:t>
      </w:r>
    </w:p>
    <w:p>
      <w:r>
        <w:t>- 5 - termes duquel ce médecin considérait qu’au vu des douleurs, de la fatigue et du manque d’endurance, la capacité de travail était nettement réduite, seule une activité à titre occupationnelle demeurant envisageable à très faible taux. Le 28 août 2020, le Dr Z.________ du SMR a indiqué qu’il maintenait ses conclusions. Par projet de décision du 14 janvier 2021, annulant et remplaçant le projet du 8 novembre 2019, l’OAI a informé l’assurée de son intention de lui accorder une rente entière du 1er avril au 31 juillet 2016, un quart de rente du 1er janvier au 31 décembre 2018 et une demi-rente dès le 1er janvier 2019. L’OAI a constaté que l’assurée avait présenté une incapacité de travail ininterrompue dès le 21 février 2014, puis qu’elle disposait d’une capacité de travail exigible de 50 % dans une activité adaptée respectant ses limitations fonctionnelles dès le mois de mai 2016. En bonne santé, son statut était celui d’une femme active à 80 % et ménagère à 20%. Dès le 1er janvier 2019, un statut de 100 % active était reconnu. Procédant au calcul de l’invalidité, l’OAI a arrêté le degré d’invalidité à 84 % du 1er avril au 31 juillet 2016, à 36,9 % du 1er août 2016 au 31 décembre 2017, à 46 % du 1er janvier au 31 décembre 2018 et à 53 % dès le 1er janvier 2019, ceci compte tenu d’un empêchement de 18,05 % dans la tenue du ménage et d’un revenu fondé sur l’enquête sur la structure des salaires (ESS). L’OAI a pris position sur les arguments de l’assurée le 14 janvier 2021. Il a indiqué que le rapport du Dr C.________ n’apportait aucun élément nouveau ou qui n’avait pas été pris en compte dans le cadre de l’instruction. En ce qui concernait le statut de la recourante, l’OAI a expliqué qu’il avait été fixé compte tenu de son âge, de son parcours professionnel, de sa situation familiale et financière, et qu’il n’apparaissait pas vraisemblable qu’elle aurait travaillé à 100 % dès le mois de février 2014, de telle sorte qu’un statut de personne à 80 % active et à 20 % ménagère se justifiait jusqu’à début 2019, date à laquelle un statut de</w:t>
      </w:r>
    </w:p>
    <w:p>
      <w:r>
        <w:t>- 6 - personne à 100 % active lui était reconnu du fait que son fils cadet avait terminé sa scolarité obligatoire (cf. avis du service juridique de l’OAI des 7 octobre et 2 décembre 2020). L’assurée, représentée par Me Pierre Ventura, a contesté ce nouveau projet de décision les 23 et 30 mars 2021, produisant notamment un rapport du 27 mars 2021 du Dr C.________. Ce médecin constatait une altération des capacités cognitives et une péjoration de la fatigue. Il critiquait l’appréciation diagnostique faite par les experts du F.________, notamment à la lumière d’une anamnèse et de tests positifs typiques d’un syndrome du défilé thoraco-brachial neurogène qui appelait un examen neurologique. Le 21 avril 2021, l’assurée a en outre demandé un délai supplémentaire pour procéder à des investigations sur le plan psychique. Le 1er juin 2021, l’OAI a pris position sur les arguments de l’assurée. Il a retenu que l’expertise du F.________ présentait une pleine valeur probante, que l’avis du Dr C.________ ne contenait aucun élément susceptible de mettre en doute les conclusions de l’expertise et que, s’agissant d’une évolution sur le plan psychique, trois mois de prolongation avaient été accordés sans que l’assurée n’ait remis de rapport médical. En conséquence, l’OAI a annoncé que la décision serait prochainement notifiée. Par décision du 26 août 2021, l’OAI a confirmé le projet de décision du 14 janvier 2021. B. Par acte du 27 septembre 2021, R.________, représentée par Me Pierre Ventura, a recouru auprès de la Cour des assurances sociales du Tribunal cantonal à l’encontre de la décision du 26 août 2021, concluant principalement à sa réforme, dans le sens de l’octroi d’une rente d’invalidité entière à compter du 1er avril 2016 et à l’octroi d’une rente complémentaire pour son fils cadet à tout le moins du 1er avril 2016 au</w:t>
      </w:r>
    </w:p>
    <w:p>
      <w:r>
        <w:t>- 7 - 31 août 2022, et subsidiairement à son annulation, avec renvoi du dossier de la cause à l’intimé pour nouvelle décision dans le sens des considérants. A titre de mesures d’instruction, elle a requis la mise en œuvre d’une expertise pluridisciplinaire. La recourante a contesté la capacité de travail résiduelle retenue par les experts dans une activité adaptée, les empêchements retenus dans les tâches ménagères et le statut. Elle a également reproché à l’intimé de ne pas avoir instruit l’aggravation alléguée sur le plan psychique et d’avoir rendu sa décision sans lui laisser le temps de consulter un psychiatre. A l’appui de son recours, elle a produit un rapport du 25 juin 2021 du Dr C.________ et une attestation d’apprentissage concernant son fils cadet. Elle a en outre requis le bénéfice de l’assistance judiciaire. Par décision du 29 septembre 2021, la juge instructrice a accordé à la recourante le bénéfice de l’assistance judiciaire, avec effet au 27 août 2021, l’exonérant d’avances, des frais judiciaires et du paiement de toute franchise mensuelle et désignant Me Pierre Ventura en qualité d’avocat d’office. Par réponse du 11 novembre 2021, l’OAI a expliqué qu’après avoir soumis le dossier au SMR, ce dernier estimait, notamment à la lumière des rapports produits par la recourante, que l’expertise au dossier semblait insuffisante pour confirmer en tout état de cause la capacité de travail retenue. Dès lors qu’une instruction médicale complémentaire s’avérait nécessaire, il a renoncé à se prononcer plus en avant sur les autres arguments de la recourante. L’intimé a précisé que la Caisse de compensation avait reçu une copie du contrat d’apprentissage du fils cadet de la recourante et que, par décision du 10 novembre 2021, ladite caisse avait en conséquence reconnu le droit à une rente pour enfant relative à la période du 1er mars 2021 au 31 octobre 2021 . L’OAI a joint à sa réponse l’avis SMR du Dr Z.________ du 2 novembre 2021 dans lequel il proposait, en plus des volets rhumatologique, psychiatrique et de médecine interne, un volet neurologique et neuropsychologique.</w:t>
      </w:r>
    </w:p>
    <w:p>
      <w:r>
        <w:t>- 8 - Répliquant le 17 janvier 2022, la recourante a requis que l’expertise soit mise en œuvre par la Cour des assurances sociales pour des motifs de célérité. A l’appui de sa réplique, elle a produit un rapport du 2 décembre 2021 du Dr A.________, spécialiste en psychiatrie et psychothérapie, et de la psychologue I.________, lequel retient le diagnostic d'épisodes isolés de dépression réactionnelle (F32.1). Dupliquant le 8 février 2022, l’intimé s’en est remis à justice sur la forme administrative ou judiciaire de l’expertise à mettre en œuvre, précisant qu’il devait s’agir d’une nouvelle expertise.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aux prestations de l’assurance- invalidité de la recourante, singulièrement l’octroi d’une rente sans limitation dans le temps. 3. a) Des modifications législatives et réglementaires sont entrées en vigueur au 1er janvier 2022 dans le cadre du « développement continu de l’AI » (loi fédérale sur l’assurance-invalidité [LAI]</w:t>
      </w:r>
    </w:p>
    <w:p>
      <w:r>
        <w:t>- 9 -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26 août 2021 (ATF 144 V 210 consid. 4.3.1 ; 138 V 176 consid. 7.1 ; TF 9C_881/2018 du 6 mars 2019 consid. 4.1). 4. a) Dans un premier moyen d’ordre formel, la recourante se plaint d’une violation du droit d’être entendu. Elle rappelle que l’intimé a refusé de compléter l’instruction, respectivement de prolonger le délai pour lui permettre de fournir des éléments médicaux en relation avec la détérioration de son état de santé psychique. Elle reproche également à l’intimé de ne pas avoir complété l’instruction sur la base des rapports du Dr C.________ dès lors que ce dernier mettait en doute le rapport d’expertise du F.________. b)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Le droit d’être entendu est une garantie de nature formelle, dont la violation entraîne en principe l’annulation de la décision attaquée, indépendamment des chances de succès du recours sur le fond (ATF 144 I 11 consid. 5.3 ; 142 II 218 consid. 2.8.1 ; 137 I 195 consid. 2.2).</w:t>
      </w:r>
    </w:p>
    <w:p>
      <w:r>
        <w:t>- 10 - c) En l’espèce, la question de savoir si l’intimé a porté atteinte au droit d’être entendue de la recourante au motif qu’il n’a pas prolongé un délai pour lui permettre de consulter un psychiatre peut rester indécise (sur les conditions de la prolongation du délai, cf. Anne-Sylvie Dupont, in Anne-Sylvie Dupont/Margit Moser-Szeless [édit.], Loi sur la partie générale des assurances sociales, Commentaire romand, Bâle 2018, n. 14 ad art. 40 LPGA et les références citées). Le grief devient sans objet dès lors que la décision doit être annulée pour d’autres motifs (cf. consid. 7 ci-dessous). S’agissant du grief en lien avec le défaut d’instruction, dans la mesure où il porte en substance sur le résultat de l’appréciation des preuves (art. 61 let. c LPGA et consid. 6b ci-dessous), le moyen tiré d’une violation du droit d’être entendu se confond ici avec celui d’une constatation inexacte des faits pertinents que le recourant soulève également. Cet argument sera donc examiné avec le fond du litige (cf. consid. 7 ci-dessous). 5.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- 11 - b) aa)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w:t>
      </w:r>
    </w:p>
    <w:p>
      <w:r>
        <w:t>- 12 - bb) Par ailleurs,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ou la capacité d’accomplir les travaux habituels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- 13 -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w:t>
      </w:r>
    </w:p>
    <w:p>
      <w:r>
        <w:t>- 14 - en cause l’appréciation de l’auteur de l’enquête que s’il est évident qu’elle repose sur des erreurs manifestes (ATF 140 V 543 consid. 3.2.1 ; 130 V 61 consid. 6 et les références citées ; TF 9C_687/2014 du 30 mars 2015 consid. 4.2.1). Même si, compte tenu de sa nature, l’enquête économique sur le ménage est en premier lieu un moyen approprié pour évaluer l’étendue d’empêchements dus à des limitations physiques, elle garde cependant valeur probante lorsqu’il s’agit d’estimer les empêchements que la personne assurée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(TF 9C_925/2013 du 1er avril 2014 consid. 2.2 et les références citées). 7. a) aa) Dans le cadre de la procédure administrative, l’intimé a retenu, sur la base de l’expertise du F.________ et de l’avis SMR du 11 octobre 2019 que la recourante a présenté une incapacité de travail totale dès le mois de février 2014 jusqu’au 30 avril 2016. Dès le mois de mai 2016, il a retenu, sur les mêmes bases, une capacité de travail résiduelle de 50 % dans une activité adaptée aux limitations fonctionnelles rhumatologiques et orthopédiques (« Pas d’efforts physiques, économie des articulations, en particulier pas de mouvements répétitifs des poignets et des mains, pas de port itératif de charges &gt; 5 kg, pas de montée ou de descente itérative des escaliers, pas de longs déplacements, déplacements limités sur terrain inégal, pas de travail en hauteur, pas de mouvements répétés en porte-à-faux du rachis, pas de travail les bras levés au-dessus de l’horizontale. » ). Dans son avis du 11 octobre 2019, confirmé le 28 août 2020, le Dr Z.________ concluait en ces termes :</w:t>
      </w:r>
    </w:p>
    <w:p>
      <w:r>
        <w:t>- 15 - « L’expertise rhumatologique est complète. Néanmoins, nous relevons que l’appréciation globale faite par les experts n’est pas complètement convaincante, d’une part en raison des limitations fonctionnelles retenues dans le cadre du diagnostic d’Ehlers-Danlos (non incapacitant), et d’autre part sur le fait que le diagnostic principal (arthralgies des deux mains d’origine indéterminée) n’a manifestement pas fait l’objet d’une discussion en tenant en compte du diagnostic d’Ehlers-Danlos (en d’autres termes, les arthralgies sont-elles en partie explicables par des douleurs décrites comme surmontables en lien avec ce diagnostic ?). » bb) Dans son avis du 2 novembre 2021, le Dr Jaton a fait savoir ce qui suit : Au-delà de ces aspects, nous relevons que si jusqu’à notre dernier avis, l’appréciation des experts du F.________ était certainement suffisante pour retenir la présence d’une CT partielle dans une activité adaptée (et que le Dr C.________ n’amenait pas d’éléments convaincants pour remettre en question l’appréciation des experts), les éléments avancés depuis rejoignent en partie nos conclusions d’octobre 2019, à savoir que l’appréciation au niveau diagnostic et consensuelle réalisée au F.________ n’est pas totalement convaincante (en particulier le fait de retenir de nombreuses limitations fonctionnelles alors que le syndrome d’Ehlers-Danlos est caractérisé de non incapacitant, et d’autre part concernant l’origine, les répercussions et le caractère surmontable des douleurs des mains). Si face à l’absence d’élément en faveur d’une aggravation sur le plan psychique, cette dernière apparaît comme n’étant que peu vraisemblable, il semble également que l’expertise au dossier soit insuffisante pour confirmer en tout état de cause la CT retenue. Nous proposerions dès lors un nouveau complément d’instruction incluant, en plus des volets rhumatologique, psychiatrique et de médecine interne, un volet neurologique et neuropsychologique. En l’occurrence, se ralliant à l’avis du SMR du 2 novembre 2021 dans sa réponse du 11 novembre 2021, l’intimé admet lui-même qu’il convient de procéder à un complément d’instruction, sous la forme de la mise en œuvre d’une expertise pluridisciplinaire de médecine interne, de rhumatologie, de psychiatrie, de neurologie et de neuropsychologie. cc) Une nouvelle expertise est rendue nécessaire dans la mesure où les rapports du spécialiste consulté par la recourante motivent de manière circonstanciée le diagnostic différentiel (par rapport à celui de cervicalgies chroniques retenues par les experts du F.________) de</w:t>
      </w:r>
    </w:p>
    <w:p>
      <w:r>
        <w:t>- 16 - syndrome du défilé thoraco-brachial (TOS) neurogène bilatéral qui n’a pas été évoqué par les experts (rapports des 17 janvier 2020 et 27 mars 2021 du Dr C.________). L’évaluation de cette pathologie nécessite une anamnèse et un examen clinique ciblés et spécifiques sur le plan neurologique (rapport du 27 mars 2021 du Dr C.________). De plus, les critiques du Dr C.________ quant à l’évaluation du diagnostic de syndrome d’Ehlers-Danlos par les experts du F.________ (diagnostic pas suffisamment précis posé selon des règles de l’art antérieures ; incompatibilité des diagnostics de syndrome d’Ehlers-Danlos et d’hypermobilité bénigne ; examen des facteurs potentiellement limitants) jettent un doute sur le bien-fondé de leur conclusion à ce propos, ce dont le Dr Z.________ ne disconvient d’ailleurs pas dans ses avis SMR des 11 octobre 2019 et 2 novembre 2021. D’autre part, le Dr C.________ pointe une altération des capacités cognitives qu’il impute aux douleurs chroniques, à la fatigue et au syndrome d’Ehlers-Danlos. Il recommande de réévaluer précisément la sévérité de l’atteinte cognitive, notamment par le biais d’un bilan neuropsychologique (rapport du 17 janvier 2020). Il y a ainsi lieu de mettre en œuvre un tel examen susceptible de mettre en lumière de nouvelles limitations fonctionnelles et de fournir un tableau clinique complet pour l’évaluation psychiatrique à renouveller. dd) Ces éléments appellent à l’évidence de plus amples discussions interdisciplinaires et justifient la mise en œuvre d’une nouvelle expertise comme le demande les parties. b) aa) La recourante réclame que l’expertise soit mise en œuvre sous l’égide de la Cour des assurances sociales. bb)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w:t>
      </w:r>
    </w:p>
    <w:p>
      <w:r>
        <w:t>- 17 -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cc) En l’espèce, il ressort des considérants qui précèdent que l’instruction menée par l’intimé est lacunaire ; elle ne permet pas de se prononcer en connaissance de cause. L’expertise à mettre en œuvre porte notamment sur deux volets (neurologique et neuropsychologique) qui sont nouveaux par rapport à l’expertise du F.________. Dès lors que ces questions n’ont jusqu’alors fait l’objet d’aucun éclaircissement, un renvoi à l’intimé est justifié selon la jurisprudence précitée. Par ailleurs, compte tenu du nombre de disciplines concernées par l’expertise à mettre en œuvre, le juge n’aurait quoi qu’il n’en soit pas d’autre choix – d’un point de vue pratique – que de s’adresser à un centre d’observation médicale de l’AI (COMAI ; art. 72bis RAI), ceci même s’il n’est pas soumis aux dispositions du RAI en la matière. Une expertise judiciaire présente aussi le défaut que les experts seront limités à apprécier l’évolution de l’état de santé à la date de la décision attaquée alors que le renvoi à l’administration permet d’assurer que l’évolution de l’état de santé entre la décision du 26 août 2021 et la date de l’expertise sera prise en compte. Le renvoi de la cause laissera aussi à l’intimé toute liberté d’entreprendre d’autres mesures d’instruction, par exemple s’agissant d’interroger les médecins traitants. dd) Le renvoi à l’intimé se justifie également par le fait qu’en sus de la problématique relative à l’instruction médicale se pose également la question du statut, mixte ou non, de la recourante. Sur ce point, la position de l’intimé (cf. notamment les avis du service juridique de l’OAI des 7 octobre et 2 décembre 2020) n’emporte pas la conviction de l’autorité de céans.</w:t>
      </w:r>
    </w:p>
    <w:p>
      <w:r>
        <w:t>- 18 - Le 19 novembre 2015, la recourante a fait savoir à l’OAI que, sans atteinte à la santé, elle travaillerait à un taux d’activité de 100 % pour des raisons financières. Elle a ensuite déclaré à l’enquêteur qu’elle devrait travailler à au moins 80 % dès la date de la séparation pour subvenir aux besoins financiers de son ménage. Cela ne signifie toutefois pas que c’était son souhait et ne suffit pas à justifier le statut mixte dès lors que la déclaration de la recourante peut parfaitement se comprendre par le fait qu’un emploi à 50 % ou 60 % lui était insuffisant pour subvenir aux besoins de son ménage. Il n’est pas davantage admissible de formuler des hypothèses sur la base, semble-t-il, des montants des contributions d’entretien retenus dans le cadre des procédures de mesures protectrices de l’union conjugale et de divorce (avis du service juridique de l’OAI des 7 octobre et 2 décembre 2020) sans les vérifier auprès de l’assurée, ceci en particulier lorsqu’il y a contradiction entre les déclarations de l’intéressée et l’estimation de l’enquêteur, du reste initialement qualifiée de « fragile » par le service juridique de l’OAI (avis du 7 octobre 2020). Le versement d’une contribution d’entretien ou son montant ne préjuge pas du taux d’activité que son créancier souhaitait effectivement réaliser. On relève aussi que le taux d’activité de la recourante avant qu’elle n’arrête de travailler dans l’optique d’avoir des enfants n’est pas connu avec précision (cf. avis du service juridique du 19 novembre 2020 : « L’assurée travaillait probablement à 100 % […] »). Enfin, l’enquêteur retenait au mois de novembre 2016 que les enfants de la recourante étaient indépendants et ne nécessitaient pas de soins et de surveillance particuliers (Enquête, p. 6, ch. 8.6 : pondération = 0 %). Toutefois, l’OAI retient un changement de statut que dès le 1er janvier 2019 au motif que le fils cadet de la recourante serait devenu majeur, ce qui apparaît contradictoire avec les constats de l’enquêteur. Dans ces circonstances, l’instruction concernant le statut doit aussi être complétée, ce qui conduit également au renvoi de la cause à l’intimé.</w:t>
      </w:r>
    </w:p>
    <w:p>
      <w:r>
        <w:t>- 19 - c) Au final, il convient par conséquent de renvoyer la cause à l’intimé, dès lors que c’est à lui qu’il incombe en premier lieu d’instruire, conformément au principe inquisitoire qui régit la procédure dans le domaine des assurances sociales (art. 43 al. 1 LPGA). 8. La question de la rente pour enfant concernant le fils cadet de la recourante est sans objet sur le vu de la décision du 10 novembre 2021 de la Caisse de compensation par laquelle elle a reconnu le principe du droit à une rente pour enfant relative à la période du 1er mars 2021 au 31 octobre 2021. 9. a) Au vu de ce qui précède, le recours doit être admis à forme de l’art. 82 LPA-VD, vu le caractère manifeste des lacunes de l’instruction. La décision attaquée est annulée et la cause renvoyée à l’intimé pour complément d’instruction dans le sens des considérants et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 La partie recourante est au bénéfice de l’assistance judiciaire. Le montant des dépens arrêté ci-avant correspond au moins à ce qui aurait été alloué à titre d’indemnité pour le mandat d’office (cf. courriers de Me Ventura des 17 janvier et 23 février 2022 et les listes annexées). Il n’y a donc pas lieu, en l’état tout au moins, de fixer plus précisément cette</w:t>
      </w:r>
    </w:p>
    <w:p>
      <w:r>
        <w:t>- 20 - indemnité (art. 4 RAJ [règlement cantonal vaudois du 7 décembre 2010 sur l’assistance judiciaire en matière civile ; BLV 211.02.3]). Par ces motifs, la Cour des assurances sociales p r o n o n c e : I. Le recours est admis. II. La décision rendue le 26 août 2021 par l’Office de l’assurance- invalidité pour le canton de Vaud est annulée et le dossier est renvoyé à l’intimé pour complément d’instruction au sens des considérants et nouvelle décision. III. Les frais de justice, d’un montant de 600 fr. (six cents francs), sont mis à la charge de l’intimé. IV. L’Office de l’assurance-invalidité pour le canton de Vaud versera à R.________ un montant de 3’000 fr. (trois mille francs) à titre de dépens. La présidente : Le greffier : Du L’arrêt qui précède, dont la rédaction a été approuvée à huis clos, est notifié à : - Me Pierre Ventura (pour la recourante), - Office de l’assurance-invalidité pour le canton de Vaud (intimé), - Office fédéral des assurances sociales,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