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ZD21.039676 vom 6. November 2023</w:t>
      </w:r>
    </w:p>
    <w:p>
      <w:r>
        <w:t>VD Tribunal cantonal, 2023-11-06, FR</w:t>
      </w:r>
    </w:p>
    <w:p>
      <w:r>
        <w:rPr>
          <w:b/>
        </w:rPr>
        <w:t xml:space="preserve">Quelle: </w:t>
      </w:r>
      <w:r>
        <w:t>https://mcp.opencaselaw.ch/entscheid/vd_gerichte_ZD21.039676</w:t>
      </w:r>
    </w:p>
    <w:p>
      <w:r>
        <w:t>FR: VD_GERICHTE ZD21.039676 du 6 novembre 2023</w:t>
      </w:r>
    </w:p>
    <w:p>
      <w:r>
        <w:t>IT: VD_GERICHTE ZD21.039676 del 6 novembre 2023</w:t>
      </w:r>
    </w:p>
    <w:p>
      <w:pPr>
        <w:pStyle w:val="Heading2"/>
      </w:pPr>
      <w:r>
        <w:t>Erwägungen</w:t>
      </w:r>
    </w:p>
    <w:p>
      <w:r>
        <w:rPr>
          <w:b/>
        </w:rPr>
        <w:t>E. 15</w:t>
      </w:r>
    </w:p>
    <w:p>
      <w:r>
        <w:t>juillet 2010. Du fait de la persistance des douleurs, l’assuré a également subi trois infiltrations au poignet gauche sans réelle amélioration. Au contrôle radiologique, aucune lésion osseuse ni instabilité du carpe n’était relevée. Le Dr G.________ posait alors un diagnostic de</w:t>
      </w:r>
    </w:p>
    <w:p>
      <w:r>
        <w:t>- 3 - douleurs chroniques post-opératoires avec une probable persistance d’une synovite du FCR. Entretemps, l’assuré a bénéficié de mesures professionnelles auprès de l’E.________ (communication AI du 5 juillet 2013), notamment sous la forme d’un stage dans un magasin de vélo. Dans un rapport SMR du 16 août 2013, le Dr S.O.________, médecin au Service médical régional de l’AI a constaté l’absence d’incapacité de travail. Par décision du 7 novembre 2013, confirmant un projet de décision du 28 août 2013, l’OAI a rejeté la demande de prestations de l’assurance-invalidité du 26 mars 2013, motif pris que l’assuré bénéficiait d’une capacité de travail entière dans toutes activités. B. Par courrier recommandé du 8 janvier 2015 à l’office AI, l’assuré a transmis un rapport du 9 décembre 2014 du Dr Q.________, spécialiste en chirurgie de la main au Y.________, lequel retenait les diagnostics de douleur chronique du FCT au poignet gauche, de status post résection d’un kyste arthrosynovial palmaire gauche à deux reprises en 2010 et de status post contusion du poignet gauche en décembre 2009. Ce spécialiste concluait à des douleurs chroniques d’origine indéterminée et n’a pas émis de proposition thérapeutique. A défaut de données médicales ayant rendu plausible une péjoration notable et durable de l’état de santé depuis la décision du 7 novembre 2013 (cf. avis SMR du 25 février 2015), l’OAI n’est pas entré en matière sur la deuxième demande de prestations de l’assurance- invalidité par décision du 1er mai 2015. C. L’assuré a déposé le 26 juillet 2017 une troisième demande de prestations de l’assurance-invalidité auprès de l’OAI.</w:t>
      </w:r>
    </w:p>
    <w:p>
      <w:r>
        <w:t>- 4 - A défaut de nouvelles pièces médicales ayant rendu plausible une péjoration notable et durable de l’état de santé depuis la décision du 7 novembre 2013, l’OAI n’est pas entré en matière sur la troisième demande de prestations de l’assurance-invalidité par décision du 24 novembre 2017. D. L’assuré a participé à un programme de Cybercafé auprès de l’UA.________. En raison d’une évolution défavorable de l’état de santé de l’assuré, l’UA.________ l’a annoncé en détection précoce auprès de l’OAI le 30 juillet 2019 et transmis les rapports du 15 juillet 2019 du Dr H.________, médecin assistant auprès d’Y.________, du 29 mars 2019 du Dr T.________, spécialiste en anesthésiologie au Y.________, du 14 février 2019 du Dr C.________, spécialiste en anesthésiologie dans le même centre, et du</w:t>
      </w:r>
    </w:p>
    <w:p>
      <w:r>
        <w:rPr>
          <w:b/>
        </w:rPr>
        <w:t>E. 17</w:t>
      </w:r>
    </w:p>
    <w:p>
      <w:r>
        <w:t>novembre 2017 du Dr V.________ et de la Dre W.________, tous deux spécialistes en neurologie au Y.________. L’assuré a déposé le 27 septembre 2019 une troisième demande de prestations de l’assurance-invalidité auprès de l’OAI. Procédant à l’instruction de cette requête, l’OAI a recueilli un rapport médical auprès des Drs D.B.________ et D.C.________, spécialistes en psychiatrie et psychothérapie au D.________, lesquels ont retenu dans leur rapport du 30 octobre 2019 le diagnostic avec répercussion sur la capacité de travail d’épisode dépressif moyen, sans syndrome somatique (F32.1) présent depuis « au moins mai 2018 » et estimé que leur patient disposait d’une pleine capacité de travail du point de vue psychique. L’OAI a également recueilli des renseignements auprès des médecins traitants de l’assuré, à savoir le rapport du 24 août 2020 du Dr C.________ et le rapport du 30 septembre 2020 du Dr I.________, spécialiste en médecine interne générale à Y.________.</w:t>
      </w:r>
    </w:p>
    <w:p>
      <w:r>
        <w:t>- 5 - Après avoir sollicité le SMR (avis du 9 décembre 2020 du Dr S.________), l’OAI a mis en œuvre une expertise rhumatologique dont il a confié la réalisation au Dr N.________, spécialiste en rhumatologie et en médecine interne générale. Dans son rapport d’expertise du 30 avril 2021, le Dr N.________ a posé les diagnostics avec incidence sur la capacité de travail de status post contusion en juillet 2019, de status post multitude de blocs de branches en 2017 et 2018 et de status post pose d’un neurostimulateur en mars 2019 (p. 14, ch. 6.1). Sans répercussion sur la capacité de travail, il a retenu des omalgies à droite sans signe de conflit ou de tendinopathie. Il a retenu que l’activité habituelle de casserolier n’était plus exigible (p. 18, ch. 8.1/c). Le Dr N.________ a estimé que, d’un point de vue strictement rhumatologique et sous réserve d’une expertise psychiatrique (sur cette question, cf. pp. 15, 16 et 17), l’assuré voyait sa capacité de travail réduite de 10 % dans une activité adaptée sans port de charges répétitif avec le membre supérieur gauche et sans mouvements de préhension du poignet gauche ni de mouvements du coude gauche (p. 19, ch. 8.2/a). Dans un rapport du SMR du 28 mai 2021, le Dr S.________ a confirmé l’incapacité de travail totale dans l’activité habituelle depuis le début de l’année 2017 et la capacité de travail de 90 % dans une activité adaptée aux limitations fonctionnelles énoncées par le Dr N.________. Par projet de décision du 31 mai 2021, l’OAI a informé l’assuré qu’il entendait rejeter sa demande de prestations de l’assurance-invalidité, motif pris qu’il présentait un degré d’invalidité de 10 % calculé sur la base de l’Enquête sur la structure des salaires (ESS), lequel excluait le droit à la rente et aux mesures professionnelles. Le 18 juin 2021, l’assuré a contesté le projet de décision susmentionné. Dans le cadre de la procédure d’audition, il a produit un rapport du 16 juin 2021 du Dr J.________, spécialiste en médecine interne générale auprès d’Y.________, lequel mentionnait des douleurs chroniques neuropathiques au bord radial du poignet gauche, des séquelles de CRPS</w:t>
      </w:r>
    </w:p>
    <w:p>
      <w:r>
        <w:t>- 6 - de type II, compliqué d’une maladie de Südeck avec extension à l’ensemble du membre supérieur gauche entraînant une incapacité presque complète de ce membre avec une amyotrophie clinique et la nécessité d’un recours à une antalgie par opioïdes, une tendinopathie de l’épaule droite par sur-sollicitation compensatrice et un syndrome dépressif modéré. Ce médecin estimait la capacité de travail à trois heures par jour. Dans un avis du 20 août 2021, le Dr S.________ du SMR a relevé que le rapport du Dr J.________ n’apportait pas d’élément en faveur d’une aggravation ou d’une atteinte à la santé qui n’aurait pas été pris en considération dans le cadre de l’instruction. Par décision du même jour, assortie d’une motivation séparée, l’OAI a confirmé son projet de décision du 31 mai 2021. E. a) Par acte du 17 septembre 2021, R.________, représenté par Procap, a recouru auprès de la Cour des assurances sociales du Tribunal cantonal à l’encontre de la décision du 20 août 2021, concluant principalement à sa réforme en ce sens que le droit à une rente d’invalidité entière était ouvert et subsidiairement à son annulation avec renvoi de la cause à l’office intimé pour complément d’instruction et nouvelle décision dans le sens des considérants. En substance, l’assuré soutient qu’il est atteint d’un syndrome sans pathogénèse ni étiologie claire et sans constat de déficit organique, lequel n’aurait pas été évalué conformément aux exigences jurisprudentielles. Il soutient que son incapacité de travail serait de 65 % et qu’un abattement de 20 % sur le revenu d’invalide se justifierait. Il a complété son écriture le 7 octobre 2021, produisant le rapport du CMS L.________ daté du 30 septembre 2021. b) Dans sa réponse du 25 octobre 2021, l’OAI a conclu au rejet du recours, se référant à l’avis du Dr S.________ du SMR du</w:t>
      </w:r>
    </w:p>
    <w:p>
      <w:r>
        <w:rPr>
          <w:b/>
        </w:rPr>
        <w:t>E. 20</w:t>
      </w:r>
    </w:p>
    <w:p>
      <w:r>
        <w:t>octobre 2021.</w:t>
      </w:r>
    </w:p>
    <w:p>
      <w:r>
        <w:t>- 7 - c) Par réplique du 15 novembre 2021, le recourant a confirmé ses conclusions et moyens. d) Dupliquant le 11 janvier 2022, l’OAI a maintenu ses conclusions, se référant à une appréciation du SMR du 10 décembre 2021. e) Le 20 janvier 2022, le Juge instructeur a ordonné la mise en œuvre d'une expertise judiciaire dont il a confié la réalisation au A.________ et en particulier au Dr A.M.________, spécialiste en médecine physique et réadaptation, et au Dr A.P.________, spécialiste en psychiatrie et psychothérapie. f) Les 4 mars et 2 mai 2022, le recourant a produit un rapport du 18 février 2022 de sa nouvelle psychiatre, la Dre D.A.________, spécialiste en psychiatrie et psychothérapie, et un rapport d’Y.________ du 8 février 2022. g) Dans leur rapport d’expertise judiciaire du</w:t>
      </w:r>
    </w:p>
    <w:p>
      <w:r>
        <w:rPr>
          <w:b/>
        </w:rPr>
        <w:t>E. 23</w:t>
      </w:r>
    </w:p>
    <w:p>
      <w:r>
        <w:t>décembre 2022, les Drs A.M.________ et A.P.________ ont posé les diagnostics avec répercussion sur la capacité de travail de douleurs chroniques du poignet gauche avec ankylose et amyotrophie sévères du membre supérieur gauche sur trouble fonctionnel sans substrat anatomique décelable, d’épisode dépressif moyen, avec syndrome somatique (F32.11) et de syndrome douloureux somatoforme persistant (F45.4). Sans répercussion sur la capacité de travail, ils ont mentionné des omalgies droites avec bursite sous-acromiale. Les experts judiciaires ont retenu que R.________ présentait une incapacité de travail dans l’activité habituelle de 100 % depuis le mois d’octobre 2010. Sur le plan somatique, ils ont en revanche estimé que l’assuré bénéficiait d’une entière capacité de travail dans une activité adaptée à ses limitations fonctionnelles (« nécessité de n’avoir qu’une activité mono-manuelle avec le membre supérieur droit, membre dominant de l’expertisé »). Sur le plan psychique, la capacité de travail dans une activité adaptée était aussi entière jusqu’au mois de mai 2018, date à laquelle s’est déclaré un épisode</w:t>
      </w:r>
    </w:p>
    <w:p>
      <w:r>
        <w:t>- 8 - dépressif moyen. Dès lors, les experts judiciaires ont retenu une baisse de rendement de 50 % en raison de la fatigue, de la fatigabilité, de la baisse de persévérance importante et de la passivité de l’intéressé, à savoir des répercussions de l’épisode dépressif moyen, avec syndrome somatique et du syndrome douloureux somatoforme persistant. h) Le 16 janvier 2023, l’OAI s’est déterminé, se référant à un avis du SMR du 11 janvier 2023 Dr S.________, lequel qualifiait l’expertise judiciaire de « très partiellement convaincante ». Il relevait que la description de l’état de santé actuel semblait suffisante pour confirmer la capacité de travail nulle dans l’activité habituelle et partielle (50%) dans une activité adaptée, mais au plus tôt depuis le début de l’année 2017, en supposant que le syndrome douloureux somatoforme persistant était déjà présent à cette époque alors que le psychiatre de l’époque n’avait pas retenu ce diagnostic. i) Le 17 février 2023, R.________ a maintenu les conclusions de son recours. Il déclare qu’il ne conteste pas la valeur probante de l’expertise judiciaire, mais uniquement la capacité de travail qui en découlait. Il soutient en substance qu’il n’était plus en mesure de mettre en valeur sa capacité de travail résiduelle sur le marché du travail équilibré. Il allègue qu’en raison de nombreux facteurs inhérents à sa personne, les possibilités de retrouver un emploi étaient irréalistes, si bien que seul un emploi en atelier protégé était envisageable. j) Le 21 février 2023, l’OAI a maintenu sa position, renvoyant à ses précédentes prises de positions. k) Le 1er mars 2023, R.________ a confirmé les conclusions de son recours. E n d r o i t : 1. a) La loi fédérale du 6 octobre 2000 sur la partie générale du droit des assurances sociales (LPGA ; RS 830.1) est, sauf dérogation</w:t>
      </w:r>
    </w:p>
    <w:p>
      <w:r>
        <w:t>- 9 -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de loi du 28 octobre 2008 sur la procédure administrative [LPA-VD ; BLV 173.36]) et respectant les autres conditions formelles prévues par la loi (art. 61 let. b LPGA notamment), le recours est recevable. 2. Le litige a pour objet le droit du recourant à une rente de l’assurance-invalidité.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20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- 10 -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w:t>
      </w:r>
    </w:p>
    <w:p>
      <w:r>
        <w:t>- 11 -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- 12 - raisonnablement en considération (ATF 144 V 427 consid. 3.2 ; 139 V 176 consid. 5.3 et les références citées).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- 13 - d)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w:t>
      </w:r>
    </w:p>
    <w:p>
      <w:r>
        <w:t>- 14 -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Le recourant se plaint de l’appréciation erronée de son état de santé, plaidant l’insuffisance de l’instruction médicale de son dossier. Il expose que l’OAI n’aurait pas soumis le dossier à un expert psychiatre à</w:t>
      </w:r>
    </w:p>
    <w:p>
      <w:r>
        <w:t>- 15 - même d’évaluer les répercussions sur sa capacité de travail du syndrome sans pathogénèse ni étiologie claire et sans constat de déficit organique dont il souffre. Aussi, il requiert le renvoi de la cause à l’intimé pour un complément d’instruction. b) En l’occurrence, il y a lieu de constater que la décision attaquée est fondée d’une part sur le rapport d’expertise rhumatologique du Dr N.________, lequel retenait une diminution de la capacité de travail de 10 % dans une activité adaptée à ses limitations fonctionnelles somatiques, et d’autre part sur le rapport des médecins traitants des D.________, les Drs D.B.________ et D.C.________, lesquels considéraient que le recourant bénéficiait d’une pleine capacité de travail sur le plan psychique. 8. a) L’intimé a mis en œuvre une expertise confiée au Dr N.________. Le rapport de ce spécialiste en rhumatologie, daté du 30 avril 2021, s’avère toutefois insuffisant pour évaluer l’état de santé de l’assuré. En effet, le Dr N.________ a relevé à juste titre que d’autres causes pouvaient expliquer les plaintes du recourant. Dans ses conclusions concernant l’évolution médicale, l’expert rhumatologue a ainsi relevé ce qui suit (expertise rhumatologique, p. 15) : En conclusion, on note une certaine discordance entre l’ampleur de la symptomatologie douloureuse au niveau du poignet et l’absence de lésion organique sous-jacente. La personne assurée s’est installée depuis 2010 dans une attitude d’immobilité du poignet et du coude G et ce, en raison d’un syndrome douloureux devenu chronique sans substrat organique sous-jacent. L’absence d’effet quelconque de multitude d’infiltration locale, de perfusion de Xylocaine et de NaCI, médicamenteuse morphinique et la pose d’un stimulateur parlent en faveur d’un syndrome douloureux sans substrat organique sous-jacent. S’agissant de l’évolution de la maladie, le Dr N.________ a mentionné ce qui suit (expertise rhumatologique, p. 16) : Le socle somatique ne permet en effet pas d’expliquer l’évolution par inutilisation de son avant-bras et de sa main G, une cause psychiatrique n’est pas exclue.</w:t>
      </w:r>
    </w:p>
    <w:p>
      <w:r>
        <w:t>- 16 - En ce qui concerne la cohérence et la plausibilité, le Dr N.________ a fait part de son appréciation en ces termes (expertise rhumatologique, p. 17) : Les résultats de l’examen et l’examen clinique ne permettent pas d’expliquer l’ampleur de la symptomatologie douloureuse et de l’impotence fonctionnelle qui en découle. Celle-ci fait suspecter un syndrome de conversion, à confirmer par une expertise psychiatrique. En effet, l’absence d’effets quelconques, de multiples interventions anesthésiques de 2016 à 2019 constituent des facteurs étayant ce diagnostic. b) Il est indéniable que le Dr N.________ demandait ni plus ni moins qu’un complément d’expertise avec un volet psychiatrique (« à confirmer par une expertise psychiatrique »), suggestion à laquelle l’intimé n’a pas donné suite. Même s’il n’est pas psychiatre, le Dr N.________, de par ses spécialisations en rhumatologie et en médecine interne et son expérience dans le domaine des expertises d’assurances, est parfaitement à même de percevoir la présence d’un trouble psychique, singulièrement d’un trouble somatoforme douloureux, si bien que ses conclusions soulevaient un doute important sur la fiabilité et la validité de l’instruction menée par l’intimé sur le plan psychiatrique. Un tel doute ne pouvait pas être écarté sans un rapport d’examen psychiatrique probant (cf. ATF 135 V 465 consid. 4.5 et 4.6). Certes, le rapport des Drs D.B.________ et D.C.________ du 30 octobre 2019, bien connu du Dr N.________ (expertise rhumatologique, p. 2), mentionne une pleine capacité de travail sur le plan psychiatrique. Cette conclusion n’est cependant pas étayée et se trouve en contradiction avec certains constats cliniques de ces médecins (notamment ch. 2.2 et 2.4). Sur le plan diagnostic, les psychiatres traitants posent un diagnostic de trouble dépressif avec répercussion sur la capacité de travail, mais ne mentionnent – de manière contradictoire – ni incapacité de travail, ni limitations fonctionnelles. La question d’un syndrome douloureux sans substrat organique sous-jacent, en particulier, n’est pas discutée de manière conforme aux indicateurs jurisprudentiels, malgré l’évidente</w:t>
      </w:r>
    </w:p>
    <w:p>
      <w:r>
        <w:t>- 17 - problématique liée au membre supérieur gauche et à l’absence d’explication sur le plan somatique. Le rapport des D.________ du 30 octobre 2019, incomplet, ne s’avérait dès lors pas probant, si bien que l’intimé ne pouvait pas s’y fier. De plus, dans un rapport du 16 juin 2021, le Dr J.________ retient une capacité de travail de trois heures par jour en posant un certain nombre de diagnostics sur la base de l’observation d’une amyotrophie clinique du membre supérieur gauche à l’origine d’une incapacité « presque complète ». Il expose aussi que le tableau douloureux se répercute sur la vie quotidienne, ce qui le conduit à estimer que le degré d’invalidité de 10 % retenu dans le projet de décision du 31 mai 2021 était sous-évalué. Le Dr J.________ ne se limite pas à présenter son évaluation de la capacité de travail du recourant, il pose des diagnostics et rend compte d’observations cliniques, lesquels sont difficilement compatibles avec les conclusions du rapport SMR du</w:t>
      </w:r>
    </w:p>
    <w:p>
      <w:r>
        <w:rPr>
          <w:b/>
        </w:rPr>
        <w:t>E. 28</w:t>
      </w:r>
    </w:p>
    <w:p>
      <w:r>
        <w:t>février 2001 consid. 3.b). c) Cela étant, le recourant a présenté une aggravation de son état de santé justifiant une révision de la dernière décision au fond du 7 novembre 2013 dès le mois de mai 2018. Le droit à une demi-rente de l’assurance-invalidité (art. 88a al. 1 RAI ; art. 28 al. 2 LAI) ne prend cependant naissance qu’à l’échéance du délai de six mois à compter du dépôt tardif de sa nouvelle demande de prestations de l’assurance-</w:t>
      </w:r>
    </w:p>
    <w:p>
      <w:r>
        <w:t>- 31 - invalidité le 27 septembre 2019 (art. 29 al. 1 LAI), à savoir le 1er mars 2020. 15. a) En définitive, le recours doit être admis et la décision litigieuse réformée en ce sens que le recourant a droit à une demi-rente d’invalidité dès le 1er mai 2020, fondée sur un degré d’invalidité de 50 %.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qu’il convient d’arrêter à 1'500 fr., débours et TVA compris, et de mettre à la charge de la partie intimée (art. 61 let. g LPGA ;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