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ZD21.039121 vom 10. März 2022</w:t>
      </w:r>
    </w:p>
    <w:p>
      <w:r>
        <w:t>VD Tribunal cantonal, 2022-03-10, FR</w:t>
      </w:r>
    </w:p>
    <w:p>
      <w:r>
        <w:rPr>
          <w:b/>
        </w:rPr>
        <w:t xml:space="preserve">Quelle: </w:t>
      </w:r>
      <w:r>
        <w:t>https://mcp.opencaselaw.ch/entscheid/vd_gerichte_ZD21.039121</w:t>
      </w:r>
    </w:p>
    <w:p>
      <w:r>
        <w:t>FR: VD_GERICHTE ZD21.039121 du 10 mars 2022</w:t>
      </w:r>
    </w:p>
    <w:p>
      <w:r>
        <w:t>IT: VD_GERICHTE ZD21.039121 del 10 marzo 2022</w:t>
      </w:r>
    </w:p>
    <w:p>
      <w:pPr>
        <w:pStyle w:val="Heading2"/>
      </w:pPr>
      <w:r>
        <w:t>Erwägungen</w:t>
      </w:r>
    </w:p>
    <w:p>
      <w:r>
        <w:rPr>
          <w:b/>
        </w:rPr>
        <w:t>E. 3</w:t>
      </w:r>
    </w:p>
    <w:p>
      <w:r>
        <w:t>Quelles sont les limitations fonctionnelles d’ordre strictement médical ? Les limitations fonctionnelles sont les suivantes : - Limitation des activités manuelles de préhension, manutention, assemblage et travaux manuels de traction, fixation et maintient en force. - Limitation des positions en antéflexion, en porte à faux du dos. - Limitation des efforts pour porter, soulever et déplacer des charges lourdes voire moyennes (limite de poids 10 à 12kg).</w:t>
      </w:r>
    </w:p>
    <w:p>
      <w:r>
        <w:t>- 4 -</w:t>
      </w:r>
    </w:p>
    <w:p>
      <w:r>
        <w:rPr>
          <w:b/>
        </w:rPr>
        <w:t>E. 4</w:t>
      </w:r>
    </w:p>
    <w:p>
      <w:r>
        <w:t>Nous avons bien pris compte que l’activité habituelle n’est plus possible, mais quelle serait la capacité de travail médico- théorique dans une activité adaptée aux limitations ? La capacité médico-théorique dans une activité parfaitement adaptée aux limitations pourrait être initialement de l’ordre de 50% puis cette capacité devrait pouvoir être progressivement accrue en fonction de la tolérance clinique et de l’efficience des mesures professionnelles mises en œuvre.</w:t>
      </w:r>
    </w:p>
    <w:p>
      <w:r>
        <w:rPr>
          <w:b/>
        </w:rPr>
        <w:t>E. 5</w:t>
      </w:r>
    </w:p>
    <w:p>
      <w:r>
        <w:t>Cela étant constaté, il s’agit de déterminer le degré d’invalidité du recourant. a) A teneur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recourant ne critique pas les revenus retenus sans et avec invalidité. Vérifiés d’office ceux-ci peuvent être confirmés. b) Le recourant critique toutefois l’abattement de 5 % effectué sur le revenu avec invalidité qu’il estime clairement sous-évaluée. aa) La personne assurée peut, selon sa situation personnelle, voir ses perspectives salariales être réduites par des facteurs tels que</w:t>
      </w:r>
    </w:p>
    <w:p>
      <w:r>
        <w:t>- 30 -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bb) En l'occurrence, l’OAI admet que le recourant présente une incapacité de travail totale dans son activité habituelle. Toutefois, dès le mois d’août 2015, une capacité de travail de 100 % est raisonnablement exigible de sa part dans une activité adaptée à ses limitations fonctionnelles somatiques (à savoir : déplacements sur terrain accidenté, mouvements répétitifs de pencher profond en avant ou en arrière avec les lombaires, doit pouvoir se lever après la station assise de deux heures, port de charges de plus de 10 kg avec le membre supérieur D [droit]. Manipulation d’objets de plus de 2 kg assis ou debout sur une table ou un établi ou devant une machine. Soulèvement latéralement en abduction de charges avec la main D). L’OAI a tenu compte en l’espèce d’un abattement de 5 % lié aux limitations fonctionnelles précitées.</w:t>
      </w:r>
    </w:p>
    <w:p>
      <w:r>
        <w:t>- 31 - Or, le salaire statistique de l’Enquête suisse sur la structure des salaires (ESS) pris en compte par l'intimé dans sa décision au titre de revenu avec invalidité recouvre un large éventail d’activités variées et non qualifiées accessibles au recourant au vu de ses limitations fonctionnelles (cf. TF 9C_497/2012 du 7 novembre 2012 ; TF I 383/2006 du 5 avril 2007 consid. 4.4). A cet égard, l’OAI est d’avis que le type d’activité qui pourrait être réalisé est le travail simple dans le domaine industriel léger, par exemple montage, contrôle ou surveillance d’un processus de production, ouvrier à l’établi dans des activités simples et légères, ouvrier dans le conditionnement. Cela étant, même la prise en compte d’un abattement plus conséquent de 25 % au maximum ne serait pas susceptible d’ouvrir le droit à la rente au recourant. Les arguments de ce dernier selon lesquels c’est un taux d’invalidité lui ouvrant le droit à un quart de rente au minimum qui devrait être retenu ne sont dès lors pas pertinents.</w:t>
      </w:r>
    </w:p>
    <w:p>
      <w:r>
        <w:rPr>
          <w:b/>
        </w:rPr>
        <w:t>E. 6</w:t>
      </w:r>
    </w:p>
    <w:p>
      <w:r>
        <w:t>A titre de mesure d’instruction, le recourant a requis la mise en œuvre d’une nouvelle expertise rhumatologique et d’une expertise pluridisciplinaire pour évaluer son état de santé général et sa répercussion sur la capacité de travail. A cet égard, et comme expliqué plus avant, les éléments au dossier sont convergents et suffisants pour permettre à la Cour des assurances sociales de renoncer à requérir un complément d’instruction sous la forme de telles expertises. Par conséquent, il n’y a pas lieu de donner suite aux requêtes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du reste pas le droit d’être entendu selon l’art. 29 al. 2 Cst. (ATF 145 I 167 consid. 4.1 ; 140 I 285 consid. 6.3.1 ; 130 II 425 consid. 2.1).</w:t>
      </w:r>
    </w:p>
    <w:p>
      <w:r>
        <w:t>- 32 -</w:t>
      </w:r>
    </w:p>
    <w:p>
      <w:r>
        <w:rPr>
          <w:b/>
        </w:rPr>
        <w:t>E. 7</w:t>
      </w:r>
    </w:p>
    <w:p>
      <w:r>
        <w:t>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par ailleurs pas lieu d’allouer de dépens, le recourant n’obtenant pas gain de cause (art. 61 let. g LPGA). d) Le recourant est au bénéfice de l’assistance judiciaire. Les frais judiciaires mis à sa charge ci-avant sont donc provisoirement supportés par l’Etat et Me Raphaël Tatti peut prétendre une équitable indemnité pour son mandat d’office. Après examen de la liste des opérations déposée le 14 février 2022, compte tenu de l’importance et de la complexité du litige, il convient d’arrêter l’indemnité à 2’239 fr. 10, débours par 99 fr. et TVA par 160 fr. 10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Il incombe au Service juridique et législatif de fixer les modalités de remboursement (art. 5 RAJ).</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