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ZD21.037284 vom 15. September 2022</w:t>
      </w:r>
    </w:p>
    <w:p>
      <w:r>
        <w:t>VD Tribunal cantonal, 2022-09-15, FR</w:t>
      </w:r>
    </w:p>
    <w:p>
      <w:r>
        <w:rPr>
          <w:b/>
        </w:rPr>
        <w:t xml:space="preserve">Quelle: </w:t>
      </w:r>
      <w:r>
        <w:t>https://mcp.opencaselaw.ch/entscheid/vd_gerichte_ZD21.037284</w:t>
      </w:r>
    </w:p>
    <w:p>
      <w:r>
        <w:t>FR: VD_GERICHTE ZD21.037284 du 15 septembre 2022</w:t>
      </w:r>
    </w:p>
    <w:p>
      <w:r>
        <w:t>IT: VD_GERICHTE ZD21.037284 del 15 settembre 2022</w:t>
      </w:r>
    </w:p>
    <w:p>
      <w:pPr>
        <w:pStyle w:val="Heading2"/>
      </w:pPr>
      <w:r>
        <w:t>Erwägungen</w:t>
      </w:r>
    </w:p>
    <w:p>
      <w:r>
        <w:rPr>
          <w:b/>
        </w:rPr>
        <w:t>E. 3</w:t>
      </w:r>
    </w:p>
    <w:p>
      <w:r>
        <w:t>a) La recourante fait tout d’abord valoir que la décision de l’OAI de mettre en œuvre une expertise pluridisciplinaire viole l’autorité de chose jugée de l’arrêt du 22 mars 2021, celui-ci ne prévoyant qu’une expertise bidisciplinaire en rhumatologie et psychiatrie. b) Lorsqu’un jugement n’a pas fait l’objet d’un recours dans le délai utile, il entre en force et acquiert autorité de chose jugée. Il devient exécutoire (art. 54 al. 1 LPGA, par renvoi de l’art. 62 al. 2 LPGA). L’autorité de chose jugée ne s’attache qu’au seul dispositif du jugement, à l’exclusion des considérants, à moins que le dispositif y renvoie. La partie intimée à qui la cause est renvoyée pour nouvelle décision ne peut pas se fonder sur des motifs que le tribunal a expressément ou implicitement rejetés. De même, le tribunal est-il lié par ses précédents considérants si, après un jugement de renvoi, il est saisi d’un nouveau recours dans la même cause (Jean Métral, in Dupont/Moser-Szeless [édit.], Loi sur la partie générale des assurances sociales, Commentaire romand, Bâle 2018, n° 122 ad art. 61 LPGA, avec les références).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et les références ; ATF 137 I 327 consid. 1.3).</w:t>
      </w:r>
    </w:p>
    <w:p>
      <w:r>
        <w:t>- 13 - c) En l’espèce, le chiffre II du dispositif de l’arrêt du 22 mars 2021 renvoie expressément aux considérants et il y a ainsi lieu de s’y référer. Selon le considérant 7b), « il se justifie de mettre en œuvre une expertise bidisciplinaire, regroupant les volets rhumatologique et psychiatrique, étant précisé que les experts sont libres de s’adjoindre les services d’un autre spécialiste, notamment l’avis d’un neurochirurgien, voire d’un radiologue ». L’interprétation littérale et légale du considérant litigieux ainsi que du dispositif ne permet aucune autre interprétation que de donner à l’autorité chargée de l’instruction la possibilité de s’adjoindre les services de tout spécialiste autre qu’un rhumatologue ou un psychiatre qu’elle jugerait utiles. Ainsi, la force jugée de l’arrêt ne fait pas obstacle à un volet de médecine interne.</w:t>
      </w:r>
    </w:p>
    <w:p>
      <w:r>
        <w:rPr>
          <w:b/>
        </w:rPr>
        <w:t>E. 4</w:t>
      </w:r>
    </w:p>
    <w:p>
      <w:r>
        <w:t>La recourante allègue ensuite qu’elle serait privée de la possibilité de participer à la désignation des experts si une expertise pluridisciplinaire devait être mise en œuvre. a) aa)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w:t>
      </w:r>
    </w:p>
    <w:p>
      <w:r>
        <w:t>- 14 -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(TF 9C_449/2013 du 23 août 2013 consid. 1.2). bb) Aux termes de l’art. 72bis RAI (règlement sur l’assurance- 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w:t>
      </w:r>
    </w:p>
    <w:p>
      <w:r>
        <w:t>- 15 -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(Jacques Olivier Piguet, in Dupont/Moser-Szeless [édit.], Loi sur la partie générale des assurances sociales, Commentaire romand, Bâle 2018, n. 28 ad art. 44 LPGA). Ce modèle d’attribution est destiné à neutraliser les craintes générales de dépendance et de partialité découlant des conditions-cadres du système d’expertise (ATF 139 V 349 consid. 5.2.2.1). En raison de ces règles de procédure, il n’y a pas de place pour une nomination consensuelle des experts dans les expertises polydisciplinaires. Si une désignation consensuelle des experts devait être régulièrement envisagée/recherchée, cela établirait à nouveau une sélection du centre d’expertise axée sur le résultat, ce que le principe de l’aléatoire consacré par l’art. 72bis al. 2 RAI vise précisément à empêcher (ATF 140 V 507 consid. 3.2 ; TF 9C_344/2020 du 22 février 2021 consid. 4.2.3). En effet, à l'ATF 139 V 349, le Tribunal fédéral a considéré qu'il était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w:t>
      </w:r>
    </w:p>
    <w:p>
      <w:r>
        <w:t>- 16 - Au vu de l'ATF 139 V 349, il faut considérer que la désignation consensuelle d'un expert ne constitue pas un droit pouvant être déduit en justice, dès lors qu'il s'agit d'une simple incombance et non d'une obligation, et que le caractère obligatoire de la procédure de désignation consensuelle se limite aux cas dans lesquels l'Office AI souhaite confier une expertise mono- ou bidisciplinaire à un COMAI. b) En l’espèce, la recourante estime que la mise en œuvre de l’expertise ordonnée par l’arrêt cantonal du 22 mars 2021 doit intervenir de manière consensuelle et propose, dans ce sens, le nom de différents spécialistes. Elle considère que la manière de procéder de l’OAI – mise en place d’une expertise pluridisciplinaire et donc du système prévu à l’art. 72bis RAI – la priverait de la possibilité de participer au choix des experts. Or, si la personne assurée peut certes refuser de se soumettre à des examens médicaux ou techniques qui ne sont pas nécessaires ou qui ne peuvent raisonnablement être exigés (cf. art. 43 al. 2 LPGA), elle ne saurait en revanche dicter à l'administration la façon dont elle doit instruire le cas, c'est-à-dire lui indiquer les actes d'instruction qu'elle doit accomplir ou ceux dont elle doit s'abstenir (TF 9C_448/2014 du 4 septembre 2014 consid. 7). De plus, l’assurée ne saurait se prévaloir d’un droit à la mise en œuvre d’une expertise sur une base consensuelle, celui- ci ne pouvant être déduit en justice (cf. ATF 139 V 349). Partant, son grief doit être rejeté.</w:t>
      </w:r>
    </w:p>
    <w:p>
      <w:r>
        <w:rPr>
          <w:b/>
        </w:rPr>
        <w:t>E. 5</w:t>
      </w:r>
    </w:p>
    <w:p>
      <w:r>
        <w:t>La recourante fait enfin valoir que le volet de médecine interne est inutile et qu’elle ne souhaite pas se plier à une expertise dans ce domaine. a) L'assureur examine les demandes, prend d'office les mesures d'instruction nécessaires et recueille les renseignements dont il a besoin (art. 43 al. 1 LPGA). L’assuré doit se soumettre à des examens médicaux ou techniques si ceux-ci sont nécessaires à l’appréciation du cas et qu’ils peuvent être raisonnablement exigés (art. 43 al. 2 LPGA).</w:t>
      </w:r>
    </w:p>
    <w:p>
      <w:r>
        <w:t>- 17 -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Ainsi, l’assureur n’est pas autorisé à recueillir un nouvel avis (« second opinion ») sur les faits déjà établis par une expertise, lorsque les conclusions de celle-ci ne lui conviennent pas (Jacques Olivier Piguet, op. cit., n° 10 ad art. 43 LPGA). b) En l’occurrence, la situation médicale de la recourante doit être examinée dans sa globalité en tenant compte des interactions entre ses différentes atteintes, ainsi que de ses ressources. Elle présente en effet des atteintes complexes, à la fois somatiques et psychiques, ainsi que différents troubles (sommeil p. ex.) et syndromes douloureux, de sorte que la mise en œuvre d’un volet de médecine interne paraît adéquate non seulement pour aider à la synthèse des expertises rhumatologique et psychiatrique mais également pour examiner l’ensemble des troubles que présente l’assurée et qui sortent des autres domaines plus spécialisés. Ainsi, la mesure d’instruction en cause est nécessaire et peut être raisonnablement exigée. Au demeurant, la recourante ne fait valoir aucune circonstance mettant en doute le caractère exigible de la mesure. On peut ajouter que l’assurée elle-même avait requis la mise en œuvre d’une expertise pluridisciplinaire comprenant un volet de médecine interne dans son acte de recours, ainsi que dans ses déterminations (cf. acte de recours du 9 décembre 2019 et déterminations du 11 août 2020). Enfin, il convient de préciser, au surplus, que l’arrêt du 22 mars 2021 prévoyait que les experts pourraient s’adjoindre les services d’un autre spécialiste et citait comme exemple un neurochirurgien ou un radiologue. Ainsi, cette possibilité laissée à l’OAI de prévoir plus que deux disciplines impliquait la mise en œuvre potentielle d’une expertise pluridisciplinaire respectant les droits de participation selon la jurisprudence du Tribunal fédéral.</w:t>
      </w:r>
    </w:p>
    <w:p>
      <w:r>
        <w:t>- 18 -</w:t>
      </w:r>
    </w:p>
    <w:p>
      <w:r>
        <w:rPr>
          <w:b/>
        </w:rPr>
        <w:t>E. 6</w:t>
      </w:r>
    </w:p>
    <w:p>
      <w:r>
        <w:t>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