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ZD21.036084 vom 10. November 2023</w:t>
      </w:r>
    </w:p>
    <w:p>
      <w:r>
        <w:t>VD Tribunal cantonal, 2023-11-10, FR</w:t>
      </w:r>
    </w:p>
    <w:p>
      <w:r>
        <w:rPr>
          <w:b/>
        </w:rPr>
        <w:t xml:space="preserve">Quelle: </w:t>
      </w:r>
      <w:r>
        <w:t>https://mcp.opencaselaw.ch/entscheid/vd_gerichte_ZD21.036084</w:t>
      </w:r>
    </w:p>
    <w:p>
      <w:r>
        <w:t>FR: VD_GERICHTE ZD21.036084 du 10 novembre 2023</w:t>
      </w:r>
    </w:p>
    <w:p>
      <w:r>
        <w:t>IT: VD_GERICHTE ZD21.036084 del 10 novembre 2023</w:t>
      </w:r>
    </w:p>
    <w:p>
      <w:pPr>
        <w:pStyle w:val="Heading2"/>
      </w:pPr>
      <w:r>
        <w:t>Erwägungen</w:t>
      </w:r>
    </w:p>
    <w:p>
      <w:r>
        <w:rPr>
          <w:b/>
        </w:rPr>
        <w:t>E. 5</w:t>
      </w:r>
    </w:p>
    <w:p>
      <w:r>
        <w:t>Troubles statiques sévères des deux pieds.</w:t>
      </w:r>
    </w:p>
    <w:p>
      <w:r>
        <w:rPr>
          <w:b/>
        </w:rPr>
        <w:t>E. 6</w:t>
      </w:r>
    </w:p>
    <w:p>
      <w:r>
        <w:t>Douleurs et paresthésies des talons ; fasciite plantaire droite.</w:t>
      </w:r>
    </w:p>
    <w:p>
      <w:r>
        <w:rPr>
          <w:b/>
        </w:rPr>
        <w:t>E. 7</w:t>
      </w:r>
    </w:p>
    <w:p>
      <w:r>
        <w:t>Gonalgies bilatérales antérieures sur chondropathie fémoro-patellaire.</w:t>
      </w:r>
    </w:p>
    <w:p>
      <w:r>
        <w:rPr>
          <w:b/>
        </w:rPr>
        <w:t>E. 8</w:t>
      </w:r>
    </w:p>
    <w:p>
      <w:r>
        <w:t>Douleurs chroniques des mains/poignets ; instabilité des poignets ; déformation dynamique des doigts en col de cygne; force de préhension des doigts diminuée des deux côtés.</w:t>
      </w:r>
    </w:p>
    <w:p>
      <w:r>
        <w:rPr>
          <w:b/>
        </w:rPr>
        <w:t>E. 9</w:t>
      </w:r>
    </w:p>
    <w:p>
      <w:r>
        <w:t>a) Concluant à une rente entière, la recourante conteste implicitement le calcul du degré d’invalidité (23,85 %), si bien qu’il convient de vérifier cette question. b)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w:t>
      </w:r>
    </w:p>
    <w:p>
      <w:r>
        <w:t>- 40 -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2018, n. 25 et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- 41 - c) aa) En l’occurrence, la recourante, en incapacité de travail dans son activité habituelle à 50 % depuis 2002, puis à 100 % depuis septembre 2015, a déposé une demande de prestations de l’assurance- invalidité le 15 février 2016, si bien qu’un éventuel droit à la rente prendrait naissance six mois à compter de la date à laquelle l’intéressée a fait valoir son droit aux prestations (art. 29 al. 1 LPGA), à savoir au 1er septembre 2016. C’est à cette date qu’il convient de calculer le degré d’invalidité de la recourante. bb) En ce qui concerne le revenu sans invalidité, celui-ci ne peut pas être déterminé en fonction de l’activité lucrative habituelle exercée avant l’atteinte à la santé, si bien qu’il y a lieu de se référer au revenu statistique. Le salaire de référence pour les femmes travaillant dans le secteur de la santé, était, en 2016, de 5'156 fr. par mois, part au treizième salaire comprise (ESS 2016, TA1_tirage_skill_level, 86-88 « Santé humaine et action sociale », niveau de qualification 2 [formation d’assistante dentaire certifiée]). Cela représente un revenu annuel de 61'872 fr. (5'156 fr. × 12 mois). Compte tenu de la durée hebdomadaire de travail dans les entreprises en 2016 (41,7 heures ; OFS, Durée normale du travail dans les entreprises selon la division économique), ce montant doit être porté à 64'502 fr. (61'872 fr. × 41,7 heures ÷ 40 heures). cc) S’agissant du revenu d’invalide, les experts ont attesté d’une capacité de travail de 100 % dans une activité légère adaptée aux limitations fonctionnelles ou de 70 % dans une activité de secrétariat. Il convient ainsi d’examiner laquelle des deux activités est la plus susceptible de réduire le dommage à l’assurance (ATF 138 I 205 consid. 3.2 ; TF 9C_786/2020 du 1er septembre 2021 consid. 4.2 ; 9C_546/2020 du 2 novembre 2020 consid. 4.3), ce qui revient à retenir le revenu d’invalide le plus élevé entre une activité légère exercée à un taux d’activité de 100 % et une activité de secrétariat exercée à un taux de 70 %. Le salaire de référence pour des femmes exerçant des activités simples et répétitives dans le secteur privé (production et services) était, en 2016, de 4’363 fr. par mois, part au treizième salaire comprise (ESS 2016, TA1_tirage_skill_level, niveau de qualification 1 [non</w:t>
      </w:r>
    </w:p>
    <w:p>
      <w:r>
        <w:t>- 42 - qualifiée]), soit un revenu annuel de 52'356 fr. (4'363 fr. × 12 mois). Compte tenu de la durée hebdomadaire de travail moyenne dans les entreprises en 2016 (41,7 heures ; OFS, Durée normale du travail dans les entreprises selon la division économique [production et services]), ce montant doit être porté à 54'581 fr. 13 (52'356 fr. × 41,7 heures ÷ 40 heures). Dans cette hypothèse, il n’y a pas lieu de remettre en cause l’abattement de 10 % pour les limitations fonctionnelles, lequel, non contesté, apparaît conforme au droit fédéral. Dans le premier cas de figure, le revenu d’invalide se monte à 49'123 fr. (54'581 fr. 13 - 10 %). S’agissant du second domaine de reconversion envisagé par les experts (secrétariat à 70 %), le salaire de référence pour des femmes exerçant une activité de secrétariat dans le secteur privé (production et services), était, en 2016, de 3'745 fr. par mois, part au treizième salaire comprise (ESS 2016, TA1_tirage_skill_level, 77,79-82, « Activités de services admin. », niveau de qualification 1 [non qualifiée]), soit un revenu annuel de 44'940 fr. (3'745 fr. × 12 mois). Compte tenu de la durée hebdomadaire de travail moyenne dans les entreprises en 2016 (41,7 heures ; OFS, Durée normale du travail dans les entreprises selon la division économique [production et services]), ce montant doit être porté à 46'849 fr. 95 (44'940 fr. × 41,7 heures ÷ 40 heures). Compte tenu d’une baisse de rendement de 30 % dans une telle activité, le revenu d’invalide se monte à 32'794 fr. 95 (46'849 fr. 95 - 30 %). Dans ce second cas de figure, il n’y a pas lieu de tenir compte d’un abattement supplémentaire pour les limitations fonctionnelles dès lors qu’un tel abattement n’entre pas en ligne de compte lorsque le corps médical a retenu, comme en l’espèce, une baisse de rendement (TF 8C_115/2021 du 10 août 2021 consid. 3.2.1 ; 9C_759/2018 du 18 février 2019). Cela étant, il y a lieu de retenir qu’une activité adaptée légère est exigible à un taux d’activité de 100 % et que le revenu d’invalide statistique qui en découle est le mieux à même de réduire le dommage à l’assurance, si bien qu’in fine, le revenu d’invalide se monte à 49'123 francs.</w:t>
      </w:r>
    </w:p>
    <w:p>
      <w:r>
        <w:t>- 43 - dd) Sur le vu de ce qui précède, la comparaison des revenus avec et sans invalidité révèle une perte de gain de 15'379 fr. (64'502 fr. - 49'123 fr.), c’est-à-dire un degré d’invalidité de 23,84 %, lequel, inférieur au seuil de 40 % (art. 28 al. 1 LAI), n’ouvre pas le droit à la rente.</w:t>
      </w:r>
    </w:p>
    <w:p>
      <w:r>
        <w:rPr>
          <w:b/>
        </w:rPr>
        <w:t>E. 10</w:t>
      </w:r>
    </w:p>
    <w:p>
      <w:r>
        <w:t>A titre de mesure d’instruction, la recourante a requis la mise en œuvre d’une nouvelle expertise pluridisciplinaire auprès de la Clinique [...] pour une évaluation fonctionnelle. Les éléments du dossier, aussi bien sur le plan médical que sur le plan économique, sont cependant suffisants pour permettre à la Cour de céans de se prononcer en toute connaissance de cause, si bien que l’on peut y renoncer par appréciation anticipée des preuves (ATF 145 I 167 consid. 4.1 ; 140 I 285 consid. 6.3.1).</w:t>
      </w:r>
    </w:p>
    <w:p>
      <w:r>
        <w:rPr>
          <w:b/>
        </w:rPr>
        <w:t>E. 11</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au demeurant non assistée,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