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ZD21.029826 vom 20. April 2022</w:t>
      </w:r>
    </w:p>
    <w:p>
      <w:r>
        <w:t>VD Tribunal cantonal, 2022-04-20, FR</w:t>
      </w:r>
    </w:p>
    <w:p>
      <w:r>
        <w:rPr>
          <w:b/>
        </w:rPr>
        <w:t xml:space="preserve">Quelle: </w:t>
      </w:r>
      <w:r>
        <w:t>https://mcp.opencaselaw.ch/entscheid/vd_gerichte_ZD21.029826</w:t>
      </w:r>
    </w:p>
    <w:p>
      <w:r>
        <w:t>FR: VD_GERICHTE ZD21.029826 du 20 avril 2022</w:t>
      </w:r>
    </w:p>
    <w:p>
      <w:r>
        <w:t>IT: VD_GERICHTE ZD21.029826 del 20 aprile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w:t>
      </w:r>
    </w:p>
    <w:p>
      <w:r>
        <w:t>- 7 - fédérale du 19 juin 1959 sur l’assurance-invalidité ; RS 831.20]). Les décisions des offices AI cantonaux peuvent directement faire l’objet d’un recours devant le tribunal des assurances du siège de l’office concerné (art. 56 al. 1 LPGA et art. 69 al. 1 let. a LAI). b/aa) Le recours doit être déposé dans les trente jours suivant la notification de la décision sujette à recours (art. 60 al. 1 LPGA). La notification irrégulière d'une décision ne doit entraîner aucun préjudice pour la personne assurée (art. 49 al. 3, 3e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En effet, tant qu'elle ne lui a pas été notifiée, la décision n'est pas nulle mais simplement inopposable à celui qui aurait dû en être le destinataire et elle ne peut dès lors le lier (TF 8C_188/2007 du 4 mars 2008 consid. 4.1.2 et la référence). Néanmoins,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Cela signifie notamment qu'une décision, fût-elle notifiée de manière irrégulière, peut entrer en force si elle n'est pas déférée au juge dans un délai raisonnable (SJ 2000 I p. 118). A cet égard, le Tribunal fédéral a, à plusieurs reprises, jugé que le délai de recours (de 30 jours) commence à courir une fois que le recourant pouvait de bonne foi prendre</w:t>
      </w:r>
    </w:p>
    <w:p>
      <w:r>
        <w:t>- 8 - connaissance de la décision contestée et était en possession de tous les éléments essentiels à la défense de ses intérêts – et non dès le moment où il apprend fortuitement l’existence de ladite décision (cf. TF 9C_639/2019 du 12 février 2020 consid. 4.3 et les références : ATF 129 II 193 consid. 1 ; 102 Ib 91 consid. 3 ; TF 1C_150/2012 du 6 mars 2013 consid. 2.3). En outre,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129 I 8 consid. 2.2; 124 V 400 consid. 2b ; 121 V 5 consid. 3b). bb) En l’occurrence, le recourant expose qu'il a appris pour la première fois, par courrier du 19 mai 2021 du CSR, qu’une décision de refus de prestations avait été rendue à son encontre par l’OAI, et qu'il n'avait jamais reçu de décision à ce sujet auparavant. Aucun élément au dossier n’autorise de retenir que le recourant aurait reçu ladite décision préalablement, de sorte que l'on se fondera sur ses explications, ce à quoi l'intimé ne s'oppose par ailleurs pas. De même, le recourant a respecté les règles de la bonne foi, en requérant rapidement, soit par correspondance du 3 juin 2021, que l'intimé lui communique ledit prononcé, ce qui a été fait par courrier du 8 juin 2021. Ainsi, il convient de constater que la décision litigieuse a été notifiée, au plus tôt, le 9 juin 2021 au recourant. En notifiant l’acte de recours par courrier recommandé du 9 juillet 2021 à la Cour de céans, le recourant a ainsi agi en temps utile auprès du tribunal compétent (art. 93 let. a LPA-VD [loi cantonale vaudoise du 28 octobre 2008 sur la procédure administrative ; BLV 173.36]). c) Respectant par ailleurs les autres conditions formelles prévues par la loi (art. 61 let. b LPGA notamment), le recours est recevable.</w:t>
      </w:r>
    </w:p>
    <w:p>
      <w:r>
        <w:t>- 9 -</w:t>
      </w:r>
    </w:p>
    <w:p>
      <w:r>
        <w:rPr>
          <w:b/>
        </w:rPr>
        <w:t>E. 2</w:t>
      </w:r>
    </w:p>
    <w:p>
      <w:r>
        <w:t>En l’espèce, le litige porte sur le droit à des prestations de l’assurance-invalidité du recourant, singulièrement à une rente d’invalidité.</w:t>
      </w:r>
    </w:p>
    <w:p>
      <w:r>
        <w:rPr>
          <w:b/>
        </w:rPr>
        <w:t>E. 3</w:t>
      </w:r>
    </w:p>
    <w:p>
      <w:r>
        <w:t>Dans un premier motif d’ordre formel, qu’il convient dès lors d’examiner à titre préalable, le recourant se plaint d’une violation de son droit d’être entendu. 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6.3.1 130 II 425 consid. 2.1). b) En l’occurrence, le recourant fait valoir que, malgré ses demandes, l’intimé lui a refusé de se faire examiner par un médecin du SMR, le médecin cantonal ou un expert. A défaut, l’intimé ne disposait pas de toutes les informations utiles pour trancher le litige. Outre le fait que les requêtes alléguées du recourant ne ressortent d’aucun élément au dossier, ce grief tiré de la violation du droit d’être entendu, en tant qu’il porte sur le refus implicite de donner suite aux mesures d’instruction requises, se confond avec celui de violation du droit, respectivement celui de constatation manifestement inexacte (y compris arbitraire) ou incomplète des faits pertinents. Il sera donc examiné avec le fond du litige.</w:t>
      </w:r>
    </w:p>
    <w:p>
      <w:r>
        <w:t>- 10 -</w:t>
      </w:r>
    </w:p>
    <w:p>
      <w:r>
        <w:rPr>
          <w:b/>
        </w:rPr>
        <w:t>E. 4</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5</w:t>
      </w:r>
    </w:p>
    <w:p>
      <w:r>
        <w:t>a) Pour pouvoir fixer le degré d’invalidité, l’administration – en cas de recours, le juge – se fonde sur des documents médicaux, ainsi que,</w:t>
      </w:r>
    </w:p>
    <w:p>
      <w:r>
        <w:t>- 11 -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w:t>
      </w:r>
    </w:p>
    <w:p>
      <w:r>
        <w:t>- 12 -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Dans un grief principal, le recourant se plaint d’une violation de l’obligation d’instruire de l’intimé (art. 43 LPGA). a) A cet égard, il est rappelé que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Ce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Sont considérés comme nécessaires tous les moyens de preuve qui permettent d’établir les faits pertinents à l’application du droit. L’assureur n’a, au demeurant, pas à épuiser toutes les possibilités d’investigation, s’il estime, par une appréciation anticipée des preuves fournies par les investigations</w:t>
      </w:r>
    </w:p>
    <w:p>
      <w:r>
        <w:t>- 13 - auxquelles il a déjà procédé, que certains faits présentent le degré de preuve requis par les circonstances et que d’autres mesures probatoires ne pourraient plus modifier cette appréciation (Jacques-Olivier Piguet, in Dupont / Moser-Szeless [édit.], Loi sur la partie générale des assurances sociales, Commentaire romand, Bâle 2018, n°9 ss ad art. 43 LPGA). Il est ajouté que, fondés sur l’art. 59 al. 2bis LAI, en corrélation avec l’art. 49 al. 1 RAI (règlement du 17 janvier 1961 sur l’assurance- invalidité ; RS 831.201),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En l’occurrence, il est d’ores et déjà révélé que l’intimé a recueilli des renseignements auprès de tous les médecins connus et mentionnés par le recourant dans sa demande de prestations du 4 mai 2018, et a soumis son dossier à l’appréciation du SMR. Tel que cela sera développé ci-dessous (cf. consid. 6b ss infra), l’intimé a ainsi mis en œuvre toutes les mesures d’instruction nécessaires et était légitimé à fonder son appréciation sur l’avis SMR du 28 octobre 2019 de la Dre V.________. b) Sur le plan somatique, il est admis qu’il existe une incapacité de travail complète, à compter du mois de novembre 2016, dans l’activité habituelle de ferblantier-couvreur du recourant, en raison de cervicobrachialgies sur discopathie C5-C6 sévère, tel que cela ressort des rapports des 25 juin 2018 du Dr S.________ et 7 août 2018 du Dr F.________.</w:t>
      </w:r>
    </w:p>
    <w:p>
      <w:r>
        <w:t>- 14 - Il convient également de confirmer l’appréciation de l’intimé, selon laquelle le recourant dispose d’une pleine capacité de travail dans une activité adaptée, ceci depuis le mois de février 2017. En effet, aucun rapport médical en lien avec l’atteinte somatique n’exclut une reprise d’une activité adaptée à plein temps. Au contraire, dans son rapport du 22 octobre 2019, le Dr F.________ a considéré que, physiquement, le recourant disposait d’une pleine capacité de travail dans une activité adaptée, épargnant le rachis cervical. Par ailleurs, dans son rapport du 25 juin 2018, le Dr S.________ a mentionné que le traitement avait pris fin le 21 février 2017, à la date de son dernier contrôle, et, à teneur de son rapport du 24 février 2017, ce médecin a relevé qu’une reconversion était prioritaire, compte tenu des atteintes somatiques du recourant. Il est ainsi légitime de retenir que le recourant était apte à la réadaptation dès cette période. Finalement, afin de déterminer les limitations fonctionnelles somatiques du recourant, l’intimé s’est fondé sur les rapports des médecins traitants, en particulier celui du 7 août 2018 du Dr F.________, retenant que le recourant ne devait pas travailler le tronc en avant ainsi que les bras au-dessus de l’horizontal, et devait éviter le port répétitif de charges supérieures à 5 kilogrammes. Pour le surplus, l’incapacité de travail provisoire du 28 mars au 14 avril 2019 justifiée par une chute au mois de mars 2019, tel qu’indiqué dans le rapport du 1er avril 2019 du Dr S.________, ne modifie en rien ces constatations. Cet événement n’a en effet eu aucune conséquence à long terme sur la capacité de travail ou les limitations fonctionnelles du recourant, l’IRM cervicale du 7 mai 2019 étant comparable à celle pratiquée le 9 février 2017 et ne montrant ni fracture, ni hernie discale. c) Sur le plan psychique, le recourant présente un trouble de la personnalité narcissique avec traits impulsifs et antisociaux (CIM-10 F 60.8), une réaction dépressive à un facteur de stress (CIM-10 F 43.2) et une dysthymie, selon le rapport du 26 septembre 2018 du Dr R.________. aa) En ce qui concerne le diagnostic de réaction dépressive à un facteur de stress, le recourant allègue avoir présenté cette</w:t>
      </w:r>
    </w:p>
    <w:p>
      <w:r>
        <w:t>- 15 - symptomatologie dès la fin de l’année 2015 et qu’elle s’était aggravée à compter du mois de mai 2016. Il est constant que cette atteinte a justifié un arrêt de travail du 7 septembre 2015 au 31 janvier 2016, la tristesse ayant été au premier plan durant cette période (cf. rapport du 26 septembre 2018 du Dr R.________). Toutefois, à compter du 1er février 2016, le recourant n’a plus bénéficié de suivi psychiatrique ou médicamenteux, ceci, à tout le moins, jusqu’au prononcé de la décision litigieuse, tel que cela ressort des rapports du 26 septembre 2018 du Dr R.________ et du 7 août 2018 du Dr F.________, lequel mentionnait un auto-traitement dépressif. Le recourant l’a d’ailleurs confirmé à plusieurs reprises au cours de la procédure judiciaire, justifiant refuser toute prise en charge thérapeutique en raison d’une défiance à l’égard du corps médical en général, résultant de deux expériences de violation du secret médical par ses psychiatres traitants, dont l’une d’entre elles avait d’ailleurs abouti au prononcé d’une sanction administrative par la COP dans sa décision du 4 juillet 2018. i) Cela posé, il doit être constaté, en premier lieu, que le refus de suivre un traitement (psychiatrique) exprimé par le recourant ne semble, au stade de la vraisemblance prépondérante, pas être directement lié à son état de santé psychique, compte tenu de ses explications et de l’absence de mention d’une telle prédisposition pathologique chez le recourant par le Dr R.________ dans son rapport du 26 septembre 2018. Cette circonstance étant ainsi étrangère aux facteurs pris en compte dans l’assurance-invalidité, elle n’a pas à être prise en considération pour juger du droit aux prestations du recourant. ii) En second lieu, l’aggravation de l’état dépressif alléguée, respectivement son caractère incapacitant ne sont pas établis au stade de la vraisemblance prépondérante.</w:t>
      </w:r>
    </w:p>
    <w:p>
      <w:r>
        <w:t>- 16 - En effet, ladite péjoration remonterait, à tout le moins, au mois de mai 2016, selon les dires du recourant. Or, dans son rapport du 26 septembre 2018, le Dr R.________ a mentionné que le dernier entretien de contrôle avec le recourant remontait au 6 juin 2016 et que celui-ci avait été calme, collaborant, adéquat dans la relation et avait dit, respectivement s’était montré en souffrance, avec une tendance à se victimiser par moments. Cependant, tout juste trois mois après la fin du suivi thérapeutique et de la période d’incapacité de travail de cinq mois à 100 %, ce psychiatre n’a pas prolongé la prise en charge, ni mis le recourant en arrêt de travail ou prescrit de médicamentation, respectivement n'a pas indiqué avoir tenté de persuader le recourant de la nécessité de ces mesures et s'être heurté à un refus de sa part. Ces éléments suggèrent déjà l’absence d’aggravation incapacitante, telle qu’alléguée par le recourant. Quant au Dr F.________, s’il a mentionné, aux termes de son rapport du 7 août 2018, le diagnostic de dépression existant depuis le mois de mai 2016, tel n’est plus le cas dans son rapport du 22 octobre 2019. De même, dans son rapport initial du 7 août 2018, ce médecin n’a aucunement justifié son diagnostic, celui-ci n’étant fondé sur aucun élément anamnestique, constatation objective ou résultat d’examen objectif. Il en est de même de son rapport du 22 octobre 2019. Ainsi, aucune conclusion probante sur l’état de santé psychique du recourant ne saurait être tirée desdits rapports du Dr F.________. D’autres éléments plaident encore en faveur de l’absence d’une atteinte psychique incapacitante passé le 31 janvier 2016. En effet, le recourant s’est inscrit au chômage en date du 1er février 2016 et a mentionné une disponibilité de 100 % pour ses recherches d'emploi (cf. confirmation d’inscription du 1er février 2016 à l’ORP). Il y est resté inscrit, selon toute vraisemblance, jusqu’au 31 juillet 2016, avant de bénéficier du RI dès le 1er août 2016 (cf. courrier du 23 avril 2018 du CSR et rapport initial du 2 mai 2018 d’un collaborateur de l’intimé). Par ailleurs, le recourant a également été en mesure de retrouver un emploi entre le 1er octobre 2018 et, à tout le moins, le mois d’avril 2019 (cf. courriel du</w:t>
      </w:r>
    </w:p>
    <w:p>
      <w:r>
        <w:t>- 17 - 14 septembre 2018 du recourant à l’intimé et rapport du 1er avril 2019 du Dr S.________). C’est le lieu de relever, à toutes fins utiles, que le recourant indique s’être rendu, au mois d’octobre 2021, à un entretien – imposé par le CSR – avec des psychiatres du Centre P.________ (ci-après : le Centre P.________), lesquels lui auraient indiqué qu’il aurait droit à des prestations de l’assurance-invalidité. Or, il n’en apporte aucune preuve, contrairement à son obligation de collaborer à l’instruction de la cause. Quoi qu’il en soit, il est rappelé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Ainsi, la consultation survenue au mois d’octobre 2021 pourrait, le cas échéant, fonder une nouvelle demande de prestations auprès de l’intimé. bb) Finalement, la dysthymie a été considérée comme n’ayant pas d’effet incapacitant par le Dr R.________. De même, le diagnostic de trouble de la personnalité n’a pas eu d’impact sur la capacité de travail du recourant, à tout le moins, jusqu’à ce que la décision litigieuse ait été rendue. En effet, l’incapacité de travail transitoire survenue entre le 7 septembre 2015 et le 31 janvier 2016 a été causée par la réaction dépressive à un facteur de stress, tel que cela ressort des explications du 26 septembre 2018 du Dr R.________. Ce médecin n’expose au demeurant pas en quoi ledit diagnostic aurait eu (ou pourrait avoir) une quelconque influence sur la capacité de travail du recourant. cc) Par conséquent, l’avis du 28 octobre 2019 du SMR, respectivement l’appréciation de l’intimé d’une capacité de travail entière, nonobstant les atteintes psychiques, paraissent hautement vraisemblables. Singulièrement, la Dre V.________ a tenu compte des limitations fonctionnelles psychiques liées au trouble de la personnalité –</w:t>
      </w:r>
    </w:p>
    <w:p>
      <w:r>
        <w:t>- 18 - non-incapacitant – mentionnées par le Dr R.________, à savoir les difficultés du recourant face à son impulsivité. d) Compte tenu de ce qui précède, l’intimé n’a pas violé son obligation d’instruire (art. 43 LPGA) et n’avait pas à mettre en œuvre des mesures d’instruction supplémentaires. Il convient ainsi de retenir que le recourant disposait d’une pleine capacité de travail dans une activité adaptée à ses limitations fonctionnelles à compter du mois de février 2017.</w:t>
      </w:r>
    </w:p>
    <w:p>
      <w:r>
        <w:rPr>
          <w:b/>
        </w:rPr>
        <w:t>E. 7</w:t>
      </w:r>
    </w:p>
    <w:p>
      <w:r>
        <w:t>Il reste à déterminer le taux d’invalidité du recourant. a/aa)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à certaines conditions cumulatives, à savoir : des rapports de travail particulièrement stables, une activité mettant pleinement en valeur la capacité de travail résiduelle et, enfin, un gain</w:t>
      </w:r>
    </w:p>
    <w:p>
      <w:r>
        <w:t>- 19 - correspondant au travail effectivement fourni (ATF 135 V 297 consid. 5.2 ; 126 V 75 consid. 3b/aa ; TF 8C_660/2014 du 5 novembre 2014 consid. 3.1). Par ailleurs,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En l’absence d’un tel revenu, soit notamment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 dd)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w:t>
      </w:r>
    </w:p>
    <w:p>
      <w:r>
        <w:t>- 20 -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b) En l’occurrence, c’est à juste titre que l’intimé s’est fondé sur les données statistiques de l’ESS pour déterminer non seulement le revenu sans invalidité du recourant, mais également son revenu avec invalidité. Le revenu sans invalidité ne peut en effet qu’être calculé sur cette base, en l’absence d’un emploi effectif et régulier lors de la survenance de l’incapacité de travail, tel que cela ressort de l'extrait du compte individuel AVS du recourant. S’agissant du revenu avec invalidité, si le recourant a retrouvé une activité dès le 1er octobre 2018 et semblait encore l'exercer au 1er avril 2019, cela apparaît toutefois ne plus avoir été le cas, à tout le moins, dès le mois d'octobre 2019. En effet, à teneur du document intitulé mandat REA du 30 octobre 2019, le collaborateur de l’OAI a mentionné que le recourant était au chômage. De surcroît, ce dernier a expliqué bénéficier actuellement des prestations du CSR et avoir brièvement émargé à l’assurance-chômage au cours de l’automne 2018, sur la demande du CSR, avant d'être jugé inapte au placement. Dès lors, à défaut de rapports de travail particulièrement stables, l’intimé a, à bon</w:t>
      </w:r>
    </w:p>
    <w:p>
      <w:r>
        <w:t>- 21 - droit, chiffré le revenu d’invalide du recourant sur la base des données statistiques de l’ESS. De même, l’intimé a justement déterminé le montant des revenus avec et sans invalidité à 67'070 fr. 61, sur la base du salaire statistique de 5'340 fr. tiré du tableaux TA1_skill_level, tous secteurs confondus, homme, niveau de compétence 1 de l’ESS – le recourant ne justifiant pas de facteurs personnels ou de qualifications professionnelles particulières permettant de prendre en compte un niveau de compétence supérieur –, calculé sur 41.7 heures de travail hebdomadaire, pour l’année 2016 avec indexation à l’année 2017. Finalement, compte tenu des circonstances personnelles du recourant, notamment du fait qu’il était âgé de 33 ans au moment de la décision litigieuse, l’intimé était légitimé à ne pas appliquer de taux d’abattement supplémentaire. c) Le taux d’invalidité du recourant est ainsi de 0 %, ce qui ne lui ouvre pas le droit à une rente d’invalidité ou à des mesures professionnelles.</w:t>
      </w:r>
    </w:p>
    <w:p>
      <w:r>
        <w:rPr>
          <w:b/>
        </w:rPr>
        <w:t>E. 8</w:t>
      </w:r>
    </w:p>
    <w:p>
      <w:r>
        <w:t>a) En définitive, le recours est rejeté et, partant, la décision du 15 janvier 2020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de sorte que ceux-ci mis à sa charge ci-avant donc provisoirement supportés par l’Etat. La partie recourante est toutefois rendue attentive au fait qu’elle devra en rembourser le montant dès qu’elle sera en mesure de le faire (art. 122 al. 1 et 123 CPC [code de</w:t>
      </w:r>
    </w:p>
    <w:p>
      <w:r>
        <w:t>- 22 -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laquelle a procédé sans mandataire qualifié et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