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ZD21.029651 vom 25. Mai 2022</w:t>
      </w:r>
    </w:p>
    <w:p>
      <w:r>
        <w:t>VD Tribunal cantonal, 2022-05-25, FR</w:t>
      </w:r>
    </w:p>
    <w:p>
      <w:r>
        <w:rPr>
          <w:b/>
        </w:rPr>
        <w:t xml:space="preserve">Quelle: </w:t>
      </w:r>
      <w:r>
        <w:t>https://mcp.opencaselaw.ch/entscheid/vd_gerichte_ZD21.029651</w:t>
      </w:r>
    </w:p>
    <w:p>
      <w:r>
        <w:t>FR: VD_GERICHTE ZD21.029651 du 25 mai 2022</w:t>
      </w:r>
    </w:p>
    <w:p>
      <w:r>
        <w:t>IT: VD_GERICHTE ZD21.029651 del 25 maggio 2022</w:t>
      </w:r>
    </w:p>
    <w:p>
      <w:pPr>
        <w:pStyle w:val="Heading2"/>
      </w:pPr>
      <w:r>
        <w:t>Erwägungen</w:t>
      </w:r>
    </w:p>
    <w:p>
      <w:r>
        <w:rPr>
          <w:b/>
        </w:rPr>
        <w:t>E. 20</w:t>
      </w:r>
    </w:p>
    <w:p>
      <w:r>
        <w:t>% était exigible dans l’activité habituelle ; selon les salaires statistiques figurant dans l’Enquête sur la structure des salaires (ESS) dans le domaine des activités d’architecture pour l’année 2019, niveau de compétence 3, une activité d’architecte à 20 % permettrait de réaliser un revenu annuel de 18'345 fr. 90. Quant au revenu sans invalidité, l’office a indiqué avoir calculé la moyenne des montants figurant sur l’extrait de compte individuel AVS durant les cinq années précédant le début de l’incapacité de travail durable, soit pour les années 2011 à 2015 ; le revenu sans invalidité était donc de 11'012 francs. Après comparaison des revenus, l’OAI a constaté que le degré d’invalidité n’ouvrait pas le droit à une rente d’invalidité, de sorte qu’il maintenait sa position telle qu’elle ressortait de son projet de décision du 15 avril 2021.</w:t>
      </w:r>
    </w:p>
    <w:p>
      <w:r>
        <w:t>- 12 - Le 17 juin 2021, l’assuré a expliqué à l’OAI que le revenu de 2017 sur lequel celui-ci fondait sa décision correspondait au solde de travaux effectués en 2016 pour la Commune d’[...]. Il a précisé que ses revenus entre 2018 et 2020 étaient négatifs. Selon lui, son revenu d’invalide était donc nul, ce qui lui ouvrait le droit à une rente. Il invitait dès lors l’office à revoir sa position. Le 25 juin 2021, l’OAI a signifié à l’assuré qu’il maintenait sa position et que celui-ci avait la possibilité de déposer un recours à l’encontre de sa décision du 11 juin 2021. Par courrier du 1er juillet 2021, l’assuré a transmis à l’OAI une facture d’honoraires de 20'225 fr. adressée à la Commune d’[...] le 17 janvier 2017 relativement à des travaux terminés en octobre 2016, laquelle justifiait en partie le revenu perçu en 2017. Il a ajouté que les mandats effectués en 2017 étaient de « petits mandats » « sans pression », soit des mises à l’enquête et un devis général pour la Commune d’[...]. Il a expliqué être incapable d’effectuer la majeure partie des prestations qu’effectue en temps normal un architecte, n’ayant plus la résistance et la concentration nécessaire. D’après lui, aucun client ne souhaitait engager un architecte tel que lui, fournissant aussi peu de prestations. B. Par acte du 8 juillet 2021, H.________ a recouru auprès de la Cour des assurances sociales du Tribunal cantonal à l’encontre de la décision du 11 juin 2021, concluant implicitement à l’octroi de prestations de l’AI. En substance, le recourant invoque une mauvaise analyse de sa situation financière par l’intimé. Il explique que sa profession d’architecte, qu’il exerce au taux de 20 %, ne lui procure aucun revenu depuis 2018, précisant que les revenus réalisés en 2017 correspondent à des soldes de mandat exécutés en 2016. Dès lors, il soutient que son activité actuelle ne lui permet aucunement de percevoir des revenus équivalents à ceux qu’il percevait dans les cinq ans précédents son AVC. Pour étayer ses dires, le recourant a notamment transmis le courrier qu’il a adressé le 1er juillet 2021 à l’OAI.</w:t>
      </w:r>
    </w:p>
    <w:p>
      <w:r>
        <w:t>- 13 - Par réponse du 31 août 2021, l’intimé a proposé le rejet du recours et la confirmation de la décision entreprise. Pour l’essentiel, il a déclaré maintenir sa position et s’est notamment référé à l’avis du 7 avril 2021 de son service juridique. Dans une réplique du 16 septembre 2021, le recourant a fait valoir que le revenu avec invalidité retenu par l’intimé était injustifié, lui- même n’ayant pas atteint un tel chiffre régulièrement, même lorsqu’il travaillait à 100 %. Il a annexé à son envoi la décision de taxation 2016 et sa comptabilité pour l’année 2016, ainsi qu’un certificat établi le 15 septembre 2021, par lequel la Dre C.________ a notamment fait état de ce qui suit : « Dans le cadre du recours que fait le patient susmentionné auprès du tribunal cantonal contre la décision de l’OAI, je me permets d’attirer l’attention sur les limitations fonctionnelles que j’ai mentionnées dans mon rapport AI du 10.02.21. S’il est admis que sa capacité de travail est à juste titre limitée à 20%, il faut aussi prendre en considération que les limitations fonctionnelles altèrent également les possibilités d’exercer pleinement ce 20% d’activité professionnelle. En effet, il ne peut plus exécuter comme avant toutes les tâches inhérentes à son métier, et ne peut donc pas obtenir le revenu attendu. » Par duplique du 13 octobre 2021, l’intimé s’est en premier lieu positionné sur le nouveau rapport de la Dre C.________. Il a relevé à cet égard qu’une expertise bidisciplinaire neurologique et psychiatrique avait été évoquée dans un avis SMR du 23 février 2021 mais qu’il y avait été renoncé en raison des réticences de l’intéressé et de son âge, de sorte qu’il s’était basé sur l’exigibilité de 20 % dans l’activité habituelle indépendante telle que pratiquée par le passé. En l’état du dossier, il a retenu qu’il ne pouvait que maintenir que les mandats du type de ceux précédemment exécutés continuaient d’être exigibles. Selon lui, le fait que l’intéressé ne se sente pas prêt à entreprendre des démarches pour obtenir de tels mandats ne pouvait être pris en compte, puisqu’on pouvait attendre d’un assuré qu’il entreprenne ces démarches de recherches de mandats dans le cadre de son obligation de diminuer le dommage. L’intimé a également relevé avoir soumis les pièces transmises par le</w:t>
      </w:r>
    </w:p>
    <w:p>
      <w:r>
        <w:t>- 14 - recourant relatives à l’année 2016 à son spécialiste en questions économiques ; ce dernier avait procédé à une nouvelle analyse, ce qui avait permis à l’intimé de constater que le revenu sans invalidité restait très peu élevé et, comparé au revenu avec invalidité exigible, n’ouvrait pas droit à la rente. L’office intimé a joint à son envoi la communication interne du 12 octobre 2021 faisant état de cette analyse économique. Par déterminations des 18 et 22 octobre 2021, le recourant a maintenu sa position et transmis à la Cour de céans diverses pièces, en particulier plusieurs factures adressées à des clients en 2017, ainsi que les décisions définitives de cotisations personnelles à la Caisse AVS de 2016 à 2021. Par déterminations du 14 décembre 2021, l’intimé a maintenu sa position.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w:t>
      </w:r>
    </w:p>
    <w:p>
      <w:r>
        <w:t>- 15 - 3.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11 juin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w:t>
      </w:r>
    </w:p>
    <w:p>
      <w:r>
        <w:t>- 16 -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 La rente est versée dès le début du mois au cours duquel le droit prend naissance (art. 29 al. 1 et 3 LAI).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- 17 -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le recourant a été victime d’un AVC cérébelleux le</w:t>
      </w:r>
    </w:p>
    <w:p>
      <w:r>
        <w:rPr>
          <w:b/>
        </w:rPr>
        <w:t>E. 25</w:t>
      </w:r>
    </w:p>
    <w:p>
      <w:r>
        <w:t>août 2016, à la suite duquel il a présenté une incapacité de travail totale du 25 août au 18 septembre 2016, puis une incapacité de travail de 80 %. Son médecin traitant a attesté une capacité de travail de 20 % dans l’activité habituelle comme dans une activité adaptée depuis septembre 2016 (cf. notamment rapport du 11 septembre 2020), tandis que sa psychiatre traitante était d’avis que la capacité de travail actuelle de 20 % représentait le maximum qu’il puisse fournir (cf. rapport du 10 février 2021). Alors qu’il a estimé à deux reprises que l’instruction devait être complétée sur le plan médical par une expertise, l’intimé y a finalement renoncé. Il ressort du dossier que, dans l’hypothèse où une expertise médicale nécessaire à établir la capacité de travail était mise en place, ses résultats ne seraient connus au plus tôt que vers la fin de l’année 2021. Au moment déterminant, l’assuré aurait été âgé de plus de 63 ans, ce qui lui aurait laissé moins de deux ans à faire valoir sur le marché du travail avant la retraite. Dès lors, même si l’expertise devait conclure à une capacité de travail dans une activité adaptée, un changement d’activité de la part de l’intéressé apparaîtrait difficilement exigible, au vu de la jurisprudence du Tribunal fédéral (ATF 138 V 457 ; cf. consid. 6c infra). Il y avait ainsi lieu, selon l’intimé, de déterminer le taux</w:t>
      </w:r>
    </w:p>
    <w:p>
      <w:r>
        <w:t>- 18 - d’invalidité du recourant compte tenu de sa capacité de travail de 20 % dans son activité habituelle d’architecte. Or, la question se pose de savoir si, même au taux de 20 %, l’activité habituelle demeure adaptée. Dans son rapport du 10 février 2021 à l’OAI, la Dre C.________ a relevé à cet égard que le 20 % d’activité que son patient était en mesure de fournir ne contenait plus de tâches complexes ou stressantes et que ce taux d’activité devait pouvoir être réparti sur plusieurs jours, moyennant un aménagement du travail impliquant une simplification des tâches et une suppression des tâches demandant des déplacements ou des contacts sociaux. D’après elle, l’intéressé n’exerçait plus que des tâches administratives simples (mise à l’enquête par exemple), ayant dû abandonner toutes les tâches impliquant des responsabilités telles le dessin, les chantiers et les séances décisionnelles, lesquelles provoquaient une sensation d’étau dans la tête, une incapacité à se concentrer, le besoin d’éloignement et de repos. Elle a également noté les limitations fonctionnelles suivantes : fatigabilité, concentration diminuée, pensées envahissantes autour de son état physique ayant pour conséquence une diminution de la disponibilité mentale pour son travail, limitations majeures dans les déplacements, sensibilité au stress augmentée avec apparition de symptômes physiques, intolérance au conflit, retrait social, besoin de repos et d’isolement. De même, le Dr T.________ a noté dans son rapport à l’OAI du 11 septembre 2020 que si l’état de son patient était globalement stable, celui-ci présentait toujours une fatigabilité augmentée, des troubles de la concentration, une résistance au stress fortement diminuée et des troubles de l’équilibre. Par rapports des 1er mai 2018 et 24 septembre 2019, le médecin traitant attestait également de probables troubles de l’humeur rendant les relations interpersonnelles difficiles (manque de confiance en soi, anxiété).</w:t>
      </w:r>
    </w:p>
    <w:p>
      <w:r>
        <w:t>- 19 - Avec sa réplique, le recourant a produit un nouveau rapport de la Dre C.________, du 15 septembre 2021, par lequel celle-ci a tenu à attirer l’attention sur les limitations fonctionnelles mentionnées dans son précédent rapport du 10 février 2021. Elle rappelle ainsi que les limitations fonctionnelles telles que décrites ci-dessus altèrent la possibilité d’exercer pleinement les 20 % de capacité de travail de l’assuré dans son activité habituelle. Dans ces conditions, les pièces au dossier ne permettent pas de retenir que l’activité habituelle demeurerait adaptée, même au taux de 20 %. Le recourant semble au contraire désormais présenter plusieurs limitations fonctionnelles (fatigabilité, troubles de la concentration, résistance au stress fortement diminuée, retrait social, des limitations dans les déplacements) qui l’empêchent vraisemblablement d’exercer les tâches inhérentes à sa profession d’architecte, même à temps partiel. L’intéressé n’a, du reste, plus été en mesure de réaliser de revenu depuis l’atteinte à la santé. Les pièces qu’il a produites tant à l’OAI qu’à la Cour de céans sont suffisantes pour établir qu’il n’a, depuis 2018, que des revenus négatifs, ce qui est d’ailleurs admis par l’intimé, et qu’en 2017, le revenu positif perçu correspondait dans une très large mesure au solde des mandats exécutés en 2016. L’absence de nouveaux mandats confiés au recourant, sous réserve de quelques mandats d’importance mineure effectués en 2017, démontre par ailleurs que l’activité habituelle n’est plus adaptée aux limitations fonctionnelles du recourant. Il y a donc lieu d’admettre que sa capacité de travail résiduelle réside dans une activité adaptée à ses limitations fonctionnelles. 6. a) 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Pour les personnes de conditions</w:t>
      </w:r>
    </w:p>
    <w:p>
      <w:r>
        <w:t>- 20 - indépendante, on peut se référer aux revenus figurant dans l’extrait du compte individuel de l’assurance-vieillesse et survivants (AVS) (TF 8C_661/2018 du 28 octobre 2019 consid. 3.2.2 ; 9C_771/2017 du 29 mai 2018 consid. 3.6). En effet, l’art. 25 al. 1 RAI établit un parallèle entre le revenu soumis à cotisation à l’AVS et le revenu à prendre en considération pour l’évaluation de l’invalidité ; le parallèle n’a toutefois pas valeur absolue (TF 8C_748/2008 du 10 juin 2009 consid. 5.2.1).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l’activité de l’assuré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w:t>
      </w:r>
    </w:p>
    <w:p>
      <w:r>
        <w:t>- 21 -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 10 septembre 2019 consid. 7.2 ; TF 9C_899/2015 du 4 mars 2016 consid. 4.3.1). Le moment où la question de la mise en valeur de la capacité (résiduelle) de travail pour un assuré proche de l'âge de la retraite sur le</w:t>
      </w:r>
    </w:p>
    <w:p>
      <w:r>
        <w:t>- 22 -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 7. a) En l’occurrence, l’intimé a retenu, comme revenu sans invalidité, la moyenne des revenus qui ressortent de l’extrait de compte individuel AVS du recourant pour les cinq années précédant l’atteinte à la santé (9'094 fr. en 2011, 12'700 fr. en 2012, 14'600 fr. en 2013, 9'333 fr. en 2014 et 9'333 fr. en 2015), estimant ainsi le revenu sans invalidité à 11'012 fr., respectivement à 15'720 fr. par an, si l’on considérait la moyenne des revenus de 1990 à 2015. Il a comparé ce revenu de 11'012 fr. à celui issu de l’ESS 2018, plus précisément au salaire moyen touché par un homme dans le domaine des activités d’architecture (TA1, niveau de compétence 3), qu’il a indexé à 2019 et ramené à 20 %, se montant à 18'345 fr. 90. Il a dès lors exclu le droit à la rente, faute de préjudice économique. Ce raisonnement ne saurait être suivi, faute pour l’activité habituelle d’être adaptée (cf. consid. 5 supra) et étant rappelé que l’on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w:t>
      </w:r>
    </w:p>
    <w:p>
      <w:r>
        <w:rPr>
          <w:b/>
        </w:rPr>
        <w:t>E. 30</w:t>
      </w:r>
    </w:p>
    <w:p>
      <w:r>
        <w:t>avril 1991 consid. 3b, in RCC 1991 p.329 ; TFA I 329/88 du 25 janvier 1989 consid. 4a, in RCC 1989 p. 328). Compte tenu de l’âge du recourant, notamment, la question de l’exigibilité se pose.</w:t>
      </w:r>
    </w:p>
    <w:p>
      <w:r>
        <w:t>- 23 - C’est donc à la lumière de la jurisprudence relative aux assurés proches de l’âge de la retraite que le cas de l’assuré aurait dû être examiné. b) En l’espèce, s’agissant de la date déterminante pour examiner si un reclassement professionnel du recourant est encore exigible (cf. consid. 6c supra), l’intimé a estimé, sur la base de l’avis du service juridique du 7 avril 2021, que ce moment ne pouvait pas encore être fixé, l’expertise médicale n’ayant pas eu lieu. A cette date, l’assuré était alors déjà âgé de plus de 62 ans et se trouvait donc à moins de trois ans de l’âge de la retraite. On relèvera qu’il a travaillé durant près de trente ans en tant qu’architecte indépendant, sans bénéficier d’une expérience professionnelle ni d’une formation dans un autre domaine, ce qui complique sa réinsertion dans le monde professionnel. L’exercice d’une nouvelle activité adaptée à ses limitations fonctionnelles – soit la fatigabilité, une concentration diminuée, des pensées envahissantes autour de son état physique ayant pour conséquence une diminution de sa disponibilité mentale pour son travail, des limitations dans ses déplacements, une hypersensibilité au stress avec apparition de symptômes physiques, une intolérance au conflit, un retrait social, un besoin de repos et d’isolement – nécessiterait en outre des aménagements spécifiques, et ce pour un taux d’occupation qui resterait très réduit (20 %) et pour une courte durée étant donné la retraite toute proche. Compte tenu de la situation personnelle et professionnelle du recourant, on peine à imaginer qu’un employeur consente les moyens et les efforts nécessaires pour lui permettre de se réinsérer dans le monde du travail. Il n’en irait pas autrement si l’on devait considérer que l’âge déterminant à prendre en considération était celui du recourant lorsqu’a été rédigé l’avis de la Dre R.________ du 28 octobre 2019, qui était alors de 61 ans. Dans ces conditions, il convient de conclure que l’assuré n’est pas en mesure de retrouver un emploi adapté à ses limitations fonctionnelles sur un marché équilibré du travail et qu’il présente dès lors une invalidité totale sur le plan professionnel.</w:t>
      </w:r>
    </w:p>
    <w:p>
      <w:r>
        <w:t>- 24 - c) L'incapacité de travail durable due à l’atteinte à la santé a débuté le 25 août 2016. Le délai d’attente d’un an prévu par l'art. 28 al. 1 let. b LAI est échu le 25 août 2017. L'art. 29 al. 1 LAI prévoit que le droit à la rente prend naissance au plus tôt à l'échéance d'une période de six mois à compter de la date à laquelle l'assuré a fait valoir son droit aux prestations conformément à l'art. 29 al. 1 LPGA. En l'occurrence, la demande a été déposée le 6 février 2018, de sorte que le recourant a droit à une rente entière non limitée dans le temps dès le 1er août 2018 (cf. art. 29 al. 3 LAI). 8. a) En définitive, le recours doit être admis et la décision entreprise réformée dans le sens que le recourant a droit à une rente entière d’invalidité à compter du 1er août 2018.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Il n’y a pas lieu d’allouer des dépens, le recourant ayant procédé sans mandataire qualifié (ATF 127 V 205 consid. 4b).</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