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ZD21.027869 vom 30. Juni 2022</w:t>
      </w:r>
    </w:p>
    <w:p>
      <w:r>
        <w:t>VD Tribunal cantonal, 2022-06-30, FR</w:t>
      </w:r>
    </w:p>
    <w:p>
      <w:r>
        <w:rPr>
          <w:b/>
        </w:rPr>
        <w:t xml:space="preserve">Quelle: </w:t>
      </w:r>
      <w:r>
        <w:t>https://mcp.opencaselaw.ch/entscheid/vd_gerichte_ZD21.027869</w:t>
      </w:r>
    </w:p>
    <w:p>
      <w:r>
        <w:t>FR: VD_GERICHTE ZD21.027869 du 30 juin 2022</w:t>
      </w:r>
    </w:p>
    <w:p>
      <w:r>
        <w:t>IT: VD_GERICHTE ZD21.027869 del 30 giugno 2022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a) La procédure de recours en matière de contestations portant sur l’octroi ou le refus de prestations de l’assurance-invalidité est soumise à des frais de justice (art. 69 al. 1bis LAI). Il convient de les fixer à</w:t>
      </w:r>
    </w:p>
    <w:p>
      <w:r>
        <w:t>- 31 - 600 fr. et de les mettre à la charge de la partie recourante, vu le sort de ses conclusions. b) Il n’y a pas lieu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